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C869B5" w:rsidRDefault="00000000">
      <w:pPr>
        <w:jc w:val="center"/>
        <w:rPr>
          <w:b/>
        </w:rPr>
      </w:pPr>
      <w:r>
        <w:rPr>
          <w:b/>
        </w:rPr>
        <w:t xml:space="preserve">Лаборатория </w:t>
      </w:r>
      <w:proofErr w:type="spellStart"/>
      <w:r>
        <w:rPr>
          <w:b/>
        </w:rPr>
        <w:t>метаботропных</w:t>
      </w:r>
      <w:proofErr w:type="spellEnd"/>
      <w:r>
        <w:rPr>
          <w:b/>
        </w:rPr>
        <w:t xml:space="preserve"> ЛС</w:t>
      </w:r>
    </w:p>
    <w:p w14:paraId="00000002" w14:textId="77777777" w:rsidR="00C869B5" w:rsidRDefault="00C869B5">
      <w:pPr>
        <w:jc w:val="both"/>
      </w:pPr>
    </w:p>
    <w:p w14:paraId="00000003" w14:textId="77777777" w:rsidR="00C869B5" w:rsidRDefault="00000000">
      <w:pPr>
        <w:numPr>
          <w:ilvl w:val="0"/>
          <w:numId w:val="1"/>
        </w:numPr>
        <w:jc w:val="both"/>
      </w:pPr>
      <w:r>
        <w:t xml:space="preserve">Изучение </w:t>
      </w:r>
      <w:proofErr w:type="spellStart"/>
      <w:r>
        <w:t>антигликирующих</w:t>
      </w:r>
      <w:proofErr w:type="spellEnd"/>
      <w:r>
        <w:t xml:space="preserve"> свойств новых соединений в системе «глюкоза-альбумин», с применением </w:t>
      </w:r>
      <w:proofErr w:type="spellStart"/>
      <w:r>
        <w:t>спектрофлуориметрии</w:t>
      </w:r>
      <w:proofErr w:type="spellEnd"/>
      <w:r>
        <w:t xml:space="preserve"> и иммуноферментного анализа.</w:t>
      </w:r>
    </w:p>
    <w:p w14:paraId="00000004" w14:textId="77777777" w:rsidR="00C869B5" w:rsidRDefault="00000000">
      <w:pPr>
        <w:numPr>
          <w:ilvl w:val="0"/>
          <w:numId w:val="1"/>
        </w:numPr>
        <w:jc w:val="both"/>
      </w:pPr>
      <w:proofErr w:type="gramStart"/>
      <w:r>
        <w:t xml:space="preserve">Изучение  </w:t>
      </w:r>
      <w:proofErr w:type="spellStart"/>
      <w:r>
        <w:t>антигликирующей</w:t>
      </w:r>
      <w:proofErr w:type="spellEnd"/>
      <w:proofErr w:type="gramEnd"/>
      <w:r>
        <w:t xml:space="preserve"> активности с применением иных гликирующих агентов и белков (</w:t>
      </w:r>
      <w:proofErr w:type="spellStart"/>
      <w:r>
        <w:t>метилглиоксаль</w:t>
      </w:r>
      <w:proofErr w:type="spellEnd"/>
      <w:r>
        <w:t xml:space="preserve">, коллаген и </w:t>
      </w:r>
      <w:proofErr w:type="spellStart"/>
      <w:r>
        <w:t>тд</w:t>
      </w:r>
      <w:proofErr w:type="spellEnd"/>
      <w:r>
        <w:t>).</w:t>
      </w:r>
    </w:p>
    <w:p w14:paraId="00000005" w14:textId="77777777" w:rsidR="00C869B5" w:rsidRDefault="00000000">
      <w:pPr>
        <w:numPr>
          <w:ilvl w:val="0"/>
          <w:numId w:val="1"/>
        </w:numPr>
        <w:jc w:val="both"/>
      </w:pPr>
      <w:r>
        <w:t xml:space="preserve">Поиск </w:t>
      </w:r>
      <w:proofErr w:type="spellStart"/>
      <w:r>
        <w:t>антисшивающей</w:t>
      </w:r>
      <w:proofErr w:type="spellEnd"/>
      <w:r>
        <w:t xml:space="preserve"> активности: ингибирование формирования сшивок гликированных белков (ИФА).</w:t>
      </w:r>
    </w:p>
    <w:p w14:paraId="00000006" w14:textId="77777777" w:rsidR="00C869B5" w:rsidRDefault="00000000">
      <w:pPr>
        <w:numPr>
          <w:ilvl w:val="0"/>
          <w:numId w:val="1"/>
        </w:numPr>
        <w:jc w:val="both"/>
      </w:pPr>
      <w:r>
        <w:t xml:space="preserve">Изучение </w:t>
      </w:r>
      <w:proofErr w:type="spellStart"/>
      <w:r>
        <w:t>дегликирующих</w:t>
      </w:r>
      <w:proofErr w:type="spellEnd"/>
      <w:r>
        <w:t xml:space="preserve"> свойства новых соединений на гликированном альбумине в реакции с </w:t>
      </w:r>
      <w:proofErr w:type="spellStart"/>
      <w:r>
        <w:t>нитросиним</w:t>
      </w:r>
      <w:proofErr w:type="spellEnd"/>
      <w:r>
        <w:t xml:space="preserve"> </w:t>
      </w:r>
      <w:proofErr w:type="spellStart"/>
      <w:r>
        <w:t>тетразолием</w:t>
      </w:r>
      <w:proofErr w:type="spellEnd"/>
      <w:r>
        <w:t xml:space="preserve"> в системе «глюкоза-альбумин» с применением </w:t>
      </w:r>
      <w:proofErr w:type="spellStart"/>
      <w:r>
        <w:t>спектрофотометрии</w:t>
      </w:r>
      <w:proofErr w:type="spellEnd"/>
      <w:r>
        <w:t>.</w:t>
      </w:r>
    </w:p>
    <w:p w14:paraId="00000007" w14:textId="77777777" w:rsidR="00C869B5" w:rsidRDefault="00000000">
      <w:pPr>
        <w:numPr>
          <w:ilvl w:val="0"/>
          <w:numId w:val="1"/>
        </w:numPr>
        <w:jc w:val="both"/>
      </w:pPr>
      <w:r>
        <w:t>Определение антиоксидантной активности исследуемых соединений в ДФПГ-тесте.</w:t>
      </w:r>
    </w:p>
    <w:p w14:paraId="00000008" w14:textId="77777777" w:rsidR="00C869B5" w:rsidRDefault="00000000">
      <w:pPr>
        <w:numPr>
          <w:ilvl w:val="0"/>
          <w:numId w:val="1"/>
        </w:numPr>
        <w:jc w:val="both"/>
      </w:pPr>
      <w:r>
        <w:t xml:space="preserve">Изучение </w:t>
      </w:r>
      <w:proofErr w:type="spellStart"/>
      <w:r>
        <w:t>антирадикальной</w:t>
      </w:r>
      <w:proofErr w:type="spellEnd"/>
      <w:r>
        <w:t xml:space="preserve">, </w:t>
      </w:r>
      <w:proofErr w:type="spellStart"/>
      <w:r>
        <w:t>хелатирующей</w:t>
      </w:r>
      <w:proofErr w:type="spellEnd"/>
      <w:r>
        <w:t>, карбонил-связывающей активности.</w:t>
      </w:r>
    </w:p>
    <w:p w14:paraId="00000009" w14:textId="77777777" w:rsidR="00C869B5" w:rsidRDefault="00000000">
      <w:pPr>
        <w:numPr>
          <w:ilvl w:val="0"/>
          <w:numId w:val="1"/>
        </w:numPr>
        <w:jc w:val="both"/>
      </w:pPr>
      <w:r>
        <w:t xml:space="preserve">Изучение антиоксидантной активности веществ в модельной системе окисления </w:t>
      </w:r>
      <w:proofErr w:type="spellStart"/>
      <w:r>
        <w:t>люминола</w:t>
      </w:r>
      <w:proofErr w:type="spellEnd"/>
      <w:r>
        <w:t xml:space="preserve">, индуцированного смесью метгемоглобина и пероксида водорода, </w:t>
      </w:r>
      <w:proofErr w:type="spellStart"/>
      <w:r>
        <w:t>микропланшетным</w:t>
      </w:r>
      <w:proofErr w:type="spellEnd"/>
      <w:r>
        <w:t xml:space="preserve"> методом.</w:t>
      </w:r>
    </w:p>
    <w:p w14:paraId="0000000A" w14:textId="77777777" w:rsidR="00C869B5" w:rsidRDefault="00000000">
      <w:pPr>
        <w:numPr>
          <w:ilvl w:val="0"/>
          <w:numId w:val="1"/>
        </w:numPr>
        <w:jc w:val="both"/>
      </w:pPr>
      <w:r>
        <w:t xml:space="preserve">Спектрофотометрическое определение суммы фенольных соединений с использованием реактива </w:t>
      </w:r>
      <w:proofErr w:type="spellStart"/>
      <w:r>
        <w:t>Фолина-Чокалтеу</w:t>
      </w:r>
      <w:proofErr w:type="spellEnd"/>
      <w:r>
        <w:t>.</w:t>
      </w:r>
    </w:p>
    <w:p w14:paraId="0000000B" w14:textId="77777777" w:rsidR="00C869B5" w:rsidRDefault="00000000">
      <w:pPr>
        <w:numPr>
          <w:ilvl w:val="0"/>
          <w:numId w:val="1"/>
        </w:numPr>
        <w:jc w:val="both"/>
      </w:pPr>
      <w:r>
        <w:t xml:space="preserve">Определение способности соединений связывать переходные металлы в тесте </w:t>
      </w:r>
      <w:proofErr w:type="spellStart"/>
      <w:r>
        <w:t>аутоокисления</w:t>
      </w:r>
      <w:proofErr w:type="spellEnd"/>
      <w:r>
        <w:t xml:space="preserve"> аскорбиновой кислоты, вызванное сульфатом </w:t>
      </w:r>
      <w:proofErr w:type="gramStart"/>
      <w:r>
        <w:t>меди(</w:t>
      </w:r>
      <w:proofErr w:type="gramEnd"/>
      <w:r>
        <w:t>II).</w:t>
      </w:r>
    </w:p>
    <w:p w14:paraId="0000000C" w14:textId="77777777" w:rsidR="00C869B5" w:rsidRDefault="00000000">
      <w:pPr>
        <w:numPr>
          <w:ilvl w:val="0"/>
          <w:numId w:val="1"/>
        </w:numPr>
        <w:jc w:val="both"/>
      </w:pPr>
      <w:r>
        <w:t>Определение способности связывать карбонильные соединения в тесте с реактивом Жирара-Т.</w:t>
      </w:r>
    </w:p>
    <w:p w14:paraId="0000000D" w14:textId="77777777" w:rsidR="00C869B5" w:rsidRDefault="00000000">
      <w:pPr>
        <w:numPr>
          <w:ilvl w:val="0"/>
          <w:numId w:val="1"/>
        </w:numPr>
        <w:jc w:val="both"/>
      </w:pPr>
      <w:r>
        <w:t xml:space="preserve">Определение активности NLRP3 </w:t>
      </w:r>
      <w:proofErr w:type="spellStart"/>
      <w:r>
        <w:t>инфламмасомы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>.</w:t>
      </w:r>
    </w:p>
    <w:p w14:paraId="0000000E" w14:textId="77777777" w:rsidR="00C869B5" w:rsidRDefault="00000000">
      <w:pPr>
        <w:numPr>
          <w:ilvl w:val="0"/>
          <w:numId w:val="1"/>
        </w:numPr>
        <w:jc w:val="both"/>
      </w:pPr>
      <w:r>
        <w:t>Определение ингибирующей способности соединений в отношении альфа-</w:t>
      </w:r>
      <w:proofErr w:type="spellStart"/>
      <w:r>
        <w:t>глюкозидазы</w:t>
      </w:r>
      <w:proofErr w:type="spellEnd"/>
      <w:r>
        <w:t>.</w:t>
      </w:r>
    </w:p>
    <w:p w14:paraId="0000000F" w14:textId="77777777" w:rsidR="00C869B5" w:rsidRDefault="00000000">
      <w:pPr>
        <w:numPr>
          <w:ilvl w:val="0"/>
          <w:numId w:val="1"/>
        </w:numPr>
        <w:jc w:val="both"/>
      </w:pPr>
      <w:r>
        <w:t xml:space="preserve">Определение влияния соединений на активность </w:t>
      </w:r>
      <w:proofErr w:type="spellStart"/>
      <w:r>
        <w:t>хиноноксидоредуктазы</w:t>
      </w:r>
      <w:proofErr w:type="spellEnd"/>
      <w:r>
        <w:t xml:space="preserve"> (NQO2).</w:t>
      </w:r>
    </w:p>
    <w:p w14:paraId="00000010" w14:textId="77777777" w:rsidR="00C869B5" w:rsidRDefault="00000000">
      <w:pPr>
        <w:numPr>
          <w:ilvl w:val="0"/>
          <w:numId w:val="1"/>
        </w:numPr>
        <w:jc w:val="both"/>
      </w:pPr>
      <w:r>
        <w:t xml:space="preserve">Изучение </w:t>
      </w:r>
      <w:proofErr w:type="spellStart"/>
      <w:r>
        <w:t>антигликирующих</w:t>
      </w:r>
      <w:proofErr w:type="spellEnd"/>
      <w:r>
        <w:t xml:space="preserve"> свойств соединений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vivo</w:t>
      </w:r>
      <w:proofErr w:type="spellEnd"/>
      <w:r>
        <w:t xml:space="preserve"> в эксперименте </w:t>
      </w:r>
      <w:proofErr w:type="spellStart"/>
      <w:r>
        <w:t>Стрептозотоцин</w:t>
      </w:r>
      <w:proofErr w:type="spellEnd"/>
      <w:r>
        <w:t>-индуцированного сахарного диабета.</w:t>
      </w:r>
    </w:p>
    <w:p w14:paraId="00000011" w14:textId="77777777" w:rsidR="00C869B5" w:rsidRDefault="00000000">
      <w:pPr>
        <w:numPr>
          <w:ilvl w:val="0"/>
          <w:numId w:val="1"/>
        </w:numPr>
        <w:jc w:val="both"/>
      </w:pPr>
      <w:r>
        <w:t xml:space="preserve">Изучение </w:t>
      </w:r>
      <w:proofErr w:type="spellStart"/>
      <w:r>
        <w:t>антигликирующих</w:t>
      </w:r>
      <w:proofErr w:type="spellEnd"/>
      <w:r>
        <w:t xml:space="preserve"> свойств соединений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vivo</w:t>
      </w:r>
      <w:proofErr w:type="spellEnd"/>
      <w:r>
        <w:t xml:space="preserve"> в эксперименте </w:t>
      </w:r>
      <w:proofErr w:type="spellStart"/>
      <w:r>
        <w:t>Метилглиоксаль</w:t>
      </w:r>
      <w:proofErr w:type="spellEnd"/>
      <w:r>
        <w:t>-индуцированных поздних осложнений сахарного диабета.</w:t>
      </w:r>
    </w:p>
    <w:p w14:paraId="00000012" w14:textId="77777777" w:rsidR="00C869B5" w:rsidRDefault="00000000">
      <w:pPr>
        <w:numPr>
          <w:ilvl w:val="0"/>
          <w:numId w:val="1"/>
        </w:numPr>
        <w:jc w:val="both"/>
      </w:pPr>
      <w:r>
        <w:t xml:space="preserve">Изучение </w:t>
      </w:r>
      <w:proofErr w:type="spellStart"/>
      <w:r>
        <w:t>антифиброзных</w:t>
      </w:r>
      <w:proofErr w:type="spellEnd"/>
      <w:r>
        <w:t xml:space="preserve"> свойств соединений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vivo</w:t>
      </w:r>
      <w:proofErr w:type="spellEnd"/>
      <w:r>
        <w:t xml:space="preserve"> в эксперименте </w:t>
      </w:r>
      <w:proofErr w:type="spellStart"/>
      <w:r>
        <w:t>Блеомицин+Метилглиоксаль-индуцированного</w:t>
      </w:r>
      <w:proofErr w:type="spellEnd"/>
      <w:r>
        <w:t xml:space="preserve"> системного фиброза.</w:t>
      </w:r>
    </w:p>
    <w:p w14:paraId="00000013" w14:textId="77777777" w:rsidR="00C869B5" w:rsidRDefault="00000000">
      <w:pPr>
        <w:numPr>
          <w:ilvl w:val="0"/>
          <w:numId w:val="1"/>
        </w:numPr>
        <w:jc w:val="both"/>
      </w:pPr>
      <w:r>
        <w:t xml:space="preserve">Тесты толерантности к </w:t>
      </w:r>
      <w:proofErr w:type="spellStart"/>
      <w:r>
        <w:t>дисахарам</w:t>
      </w:r>
      <w:proofErr w:type="spellEnd"/>
      <w:r>
        <w:t>/</w:t>
      </w:r>
      <w:proofErr w:type="spellStart"/>
      <w:r>
        <w:t>полисахарам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vivo</w:t>
      </w:r>
      <w:proofErr w:type="spellEnd"/>
      <w:r>
        <w:t>.</w:t>
      </w:r>
    </w:p>
    <w:p w14:paraId="00000014" w14:textId="77777777" w:rsidR="00C869B5" w:rsidRDefault="00000000">
      <w:pPr>
        <w:numPr>
          <w:ilvl w:val="0"/>
          <w:numId w:val="1"/>
        </w:numPr>
        <w:jc w:val="both"/>
      </w:pPr>
      <w:r>
        <w:t>Определение жизнеспособности клеток с помощью ЛДГ-теста.</w:t>
      </w:r>
    </w:p>
    <w:p w14:paraId="00000015" w14:textId="77777777" w:rsidR="00C869B5" w:rsidRDefault="00000000">
      <w:pPr>
        <w:numPr>
          <w:ilvl w:val="0"/>
          <w:numId w:val="1"/>
        </w:numPr>
        <w:jc w:val="both"/>
      </w:pPr>
      <w:r>
        <w:t xml:space="preserve">Определение противовоспалительных свойств исследуемых соединений на первичных клетках путем измерения </w:t>
      </w:r>
      <w:proofErr w:type="spellStart"/>
      <w:r>
        <w:t>индуцибельной</w:t>
      </w:r>
      <w:proofErr w:type="spellEnd"/>
      <w:r>
        <w:t xml:space="preserve"> NO-</w:t>
      </w:r>
      <w:proofErr w:type="spellStart"/>
      <w:r>
        <w:t>синтазы</w:t>
      </w:r>
      <w:proofErr w:type="spellEnd"/>
    </w:p>
    <w:p w14:paraId="00000016" w14:textId="77777777" w:rsidR="00C869B5" w:rsidRDefault="00000000">
      <w:pPr>
        <w:numPr>
          <w:ilvl w:val="0"/>
          <w:numId w:val="1"/>
        </w:numPr>
        <w:jc w:val="both"/>
        <w:sectPr w:rsidR="00C869B5">
          <w:pgSz w:w="11906" w:h="16838"/>
          <w:pgMar w:top="720" w:right="720" w:bottom="720" w:left="720" w:header="720" w:footer="720" w:gutter="0"/>
          <w:pgNumType w:start="1"/>
          <w:cols w:space="720"/>
        </w:sectPr>
      </w:pPr>
      <w:r>
        <w:t>Определение цитотоксичности исследуемых соединений на первичных клетках в колориметрическом МТТ-тесте.</w:t>
      </w:r>
    </w:p>
    <w:p w14:paraId="00000017" w14:textId="77777777" w:rsidR="00C869B5" w:rsidRDefault="00000000">
      <w:pPr>
        <w:jc w:val="center"/>
        <w:rPr>
          <w:b/>
        </w:rPr>
      </w:pPr>
      <w:r>
        <w:rPr>
          <w:b/>
        </w:rPr>
        <w:lastRenderedPageBreak/>
        <w:t>Лаборатория токсикологии</w:t>
      </w:r>
    </w:p>
    <w:p w14:paraId="00000018" w14:textId="77777777" w:rsidR="00C869B5" w:rsidRDefault="00C869B5">
      <w:pPr>
        <w:jc w:val="center"/>
        <w:rPr>
          <w:b/>
        </w:rPr>
      </w:pPr>
    </w:p>
    <w:p w14:paraId="00000019" w14:textId="77777777" w:rsidR="00C869B5" w:rsidRDefault="00000000">
      <w:pPr>
        <w:jc w:val="both"/>
        <w:rPr>
          <w:b/>
        </w:rPr>
      </w:pPr>
      <w:r>
        <w:rPr>
          <w:b/>
        </w:rPr>
        <w:t>Отдел общей токсикологии</w:t>
      </w:r>
    </w:p>
    <w:p w14:paraId="0000001A" w14:textId="77777777" w:rsidR="00C869B5" w:rsidRDefault="00000000">
      <w:pPr>
        <w:numPr>
          <w:ilvl w:val="0"/>
          <w:numId w:val="4"/>
        </w:numPr>
        <w:jc w:val="both"/>
      </w:pPr>
      <w:r>
        <w:t>Исследование острой токсичности с определением LD50 по методу Литчфилда-</w:t>
      </w:r>
      <w:proofErr w:type="spellStart"/>
      <w:r>
        <w:t>Вилкоксона</w:t>
      </w:r>
      <w:proofErr w:type="spellEnd"/>
      <w:r>
        <w:t xml:space="preserve"> («Руководство по проведению доклинических исследований лекарственных средств» (под ред. Миронова А.Н., 2012 г.))</w:t>
      </w:r>
    </w:p>
    <w:p w14:paraId="0000001B" w14:textId="77777777" w:rsidR="00C869B5" w:rsidRDefault="00000000">
      <w:pPr>
        <w:numPr>
          <w:ilvl w:val="0"/>
          <w:numId w:val="4"/>
        </w:numPr>
        <w:jc w:val="both"/>
      </w:pPr>
      <w:r>
        <w:t>Изучение острой токсичности при внутрижелудочном поступлении методом фиксированной дозы (ГОСТ 32296-2013, ОЭСР Тест № 420)</w:t>
      </w:r>
    </w:p>
    <w:p w14:paraId="0000001C" w14:textId="77777777" w:rsidR="00C869B5" w:rsidRDefault="00000000">
      <w:pPr>
        <w:numPr>
          <w:ilvl w:val="0"/>
          <w:numId w:val="4"/>
        </w:numPr>
        <w:jc w:val="both"/>
      </w:pPr>
      <w:r>
        <w:t>Изучение острой пероральной токсичности – метод определения класса острой токсичности с использованием ГОСТ 32644-2014, ОЭСР Тест № 423.</w:t>
      </w:r>
    </w:p>
    <w:p w14:paraId="0000001D" w14:textId="77777777" w:rsidR="00C869B5" w:rsidRDefault="00000000">
      <w:pPr>
        <w:numPr>
          <w:ilvl w:val="0"/>
          <w:numId w:val="4"/>
        </w:numPr>
        <w:jc w:val="both"/>
      </w:pPr>
      <w:r>
        <w:t>Проведение испытаний по оценке острой токсичности при накожном поступлении в соответствии ГОСТ 32373-2013, ОЭСР Тест № 402.</w:t>
      </w:r>
    </w:p>
    <w:p w14:paraId="0000001E" w14:textId="77777777" w:rsidR="00C869B5" w:rsidRDefault="00000000">
      <w:pPr>
        <w:numPr>
          <w:ilvl w:val="0"/>
          <w:numId w:val="4"/>
        </w:numPr>
        <w:jc w:val="both"/>
      </w:pPr>
      <w:r>
        <w:t>Изучение кумулятивного действия фармакологических веществ по методу Ю.С. Кагана и В.В. Станкевича</w:t>
      </w:r>
    </w:p>
    <w:p w14:paraId="0000001F" w14:textId="77777777" w:rsidR="00C869B5" w:rsidRDefault="00000000">
      <w:pPr>
        <w:numPr>
          <w:ilvl w:val="0"/>
          <w:numId w:val="4"/>
        </w:numPr>
        <w:jc w:val="both"/>
      </w:pPr>
      <w:r>
        <w:t xml:space="preserve">Изучение кумулятивного действия фармакологических веществ по методу R.К. </w:t>
      </w:r>
      <w:proofErr w:type="spellStart"/>
      <w:r>
        <w:t>Lim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</w:t>
      </w:r>
    </w:p>
    <w:p w14:paraId="00000020" w14:textId="77777777" w:rsidR="00C869B5" w:rsidRDefault="00000000">
      <w:pPr>
        <w:numPr>
          <w:ilvl w:val="0"/>
          <w:numId w:val="4"/>
        </w:numPr>
        <w:jc w:val="both"/>
      </w:pPr>
      <w:r>
        <w:t xml:space="preserve">Изучение кумулятивного действия фармакологических веществ методом </w:t>
      </w:r>
      <w:proofErr w:type="spellStart"/>
      <w:r>
        <w:t>субхронической</w:t>
      </w:r>
      <w:proofErr w:type="spellEnd"/>
      <w:r>
        <w:t xml:space="preserve"> токсичности с расчетом коэффициента кумуляции по </w:t>
      </w:r>
      <w:proofErr w:type="spellStart"/>
      <w:r>
        <w:t>Черкинскому</w:t>
      </w:r>
      <w:proofErr w:type="spellEnd"/>
      <w:r>
        <w:t xml:space="preserve"> Н.С и </w:t>
      </w:r>
      <w:proofErr w:type="spellStart"/>
      <w:r>
        <w:t>соавт</w:t>
      </w:r>
      <w:proofErr w:type="spellEnd"/>
      <w:r>
        <w:t xml:space="preserve">. (1964) и учетом рекомендаций Е.И. </w:t>
      </w:r>
      <w:proofErr w:type="spellStart"/>
      <w:r>
        <w:t>Люблиной</w:t>
      </w:r>
      <w:proofErr w:type="spellEnd"/>
      <w:r>
        <w:t>, Н.А. Минкиной (1976).</w:t>
      </w:r>
    </w:p>
    <w:p w14:paraId="00000021" w14:textId="77777777" w:rsidR="00C869B5" w:rsidRDefault="00000000">
      <w:pPr>
        <w:numPr>
          <w:ilvl w:val="0"/>
          <w:numId w:val="4"/>
        </w:numPr>
        <w:jc w:val="both"/>
      </w:pPr>
      <w:proofErr w:type="spellStart"/>
      <w:r>
        <w:t>Субхроническое</w:t>
      </w:r>
      <w:proofErr w:type="spellEnd"/>
      <w:r>
        <w:t xml:space="preserve"> исследование по определению токсичности при повторном/многократном пероральном поступлении вещества на грызунах. 28-дневный тест в соответствии ГОСТ 32641-2014, ОЭСР Тест № 407;</w:t>
      </w:r>
    </w:p>
    <w:p w14:paraId="00000022" w14:textId="77777777" w:rsidR="00C869B5" w:rsidRDefault="00000000">
      <w:pPr>
        <w:numPr>
          <w:ilvl w:val="0"/>
          <w:numId w:val="4"/>
        </w:numPr>
        <w:jc w:val="both"/>
      </w:pPr>
      <w:r>
        <w:t>Определение токсичности при повторном/многократном накожном поступлении. 28/21-дневный тест в соответствии ГОСТ 32642-2014, ОЭСР Тест № 410.</w:t>
      </w:r>
    </w:p>
    <w:p w14:paraId="00000023" w14:textId="77777777" w:rsidR="00C869B5" w:rsidRDefault="00000000">
      <w:pPr>
        <w:numPr>
          <w:ilvl w:val="0"/>
          <w:numId w:val="4"/>
        </w:numPr>
        <w:jc w:val="both"/>
      </w:pPr>
      <w:r>
        <w:t xml:space="preserve">Исследование пероральной токсичности на грызунах: 90-дневное в соответствии ГОСТ 32637-2014, ОЭСР Тест № 408. </w:t>
      </w:r>
    </w:p>
    <w:p w14:paraId="00000024" w14:textId="77777777" w:rsidR="00C869B5" w:rsidRDefault="00000000">
      <w:pPr>
        <w:numPr>
          <w:ilvl w:val="0"/>
          <w:numId w:val="4"/>
        </w:numPr>
        <w:jc w:val="both"/>
      </w:pPr>
      <w:proofErr w:type="spellStart"/>
      <w:r>
        <w:t>Субхроническая</w:t>
      </w:r>
      <w:proofErr w:type="spellEnd"/>
      <w:r>
        <w:t xml:space="preserve"> кожная токсичность: 90-дневное исследование (ГОСТ 32639-2014, ОЭСР Тест № 411)</w:t>
      </w:r>
    </w:p>
    <w:p w14:paraId="00000025" w14:textId="77777777" w:rsidR="00C869B5" w:rsidRDefault="00000000">
      <w:pPr>
        <w:numPr>
          <w:ilvl w:val="0"/>
          <w:numId w:val="4"/>
        </w:numPr>
        <w:jc w:val="both"/>
      </w:pPr>
      <w:r>
        <w:t>Изучение хронической токсичности при внутрижелудочном поступлении (ГОСТ 32519-2013, ОЭСР Тест № 452)</w:t>
      </w:r>
    </w:p>
    <w:p w14:paraId="00000026" w14:textId="77777777" w:rsidR="00C869B5" w:rsidRDefault="00000000">
      <w:pPr>
        <w:numPr>
          <w:ilvl w:val="0"/>
          <w:numId w:val="4"/>
        </w:numPr>
        <w:jc w:val="both"/>
      </w:pPr>
      <w:r>
        <w:t>Изучение хронической токсичности при накожном поступлении (ГОСТ 32437-2013, ОЭСР Тест № 452)</w:t>
      </w:r>
    </w:p>
    <w:p w14:paraId="00000027" w14:textId="77777777" w:rsidR="00C869B5" w:rsidRDefault="00000000">
      <w:pPr>
        <w:numPr>
          <w:ilvl w:val="0"/>
          <w:numId w:val="4"/>
        </w:numPr>
        <w:jc w:val="both"/>
      </w:pPr>
      <w:r>
        <w:t xml:space="preserve">Испытание </w:t>
      </w:r>
      <w:proofErr w:type="spellStart"/>
      <w:r>
        <w:t>нейротоксичности</w:t>
      </w:r>
      <w:proofErr w:type="spellEnd"/>
      <w:r>
        <w:t xml:space="preserve"> на грызунах (ГОСТ 32645-2014, ОЭСР Тест № 424)</w:t>
      </w:r>
    </w:p>
    <w:p w14:paraId="00000028" w14:textId="77777777" w:rsidR="00C869B5" w:rsidRDefault="00000000">
      <w:pPr>
        <w:numPr>
          <w:ilvl w:val="0"/>
          <w:numId w:val="4"/>
        </w:numPr>
        <w:jc w:val="both"/>
      </w:pPr>
      <w:r>
        <w:t>Исследование фармакологической безопасности при однократном и повторном введениях на грызунах в соответствие ГОСТ 56700-2015</w:t>
      </w:r>
    </w:p>
    <w:p w14:paraId="00000029" w14:textId="77777777" w:rsidR="00C869B5" w:rsidRDefault="00C869B5">
      <w:pPr>
        <w:jc w:val="both"/>
      </w:pPr>
    </w:p>
    <w:p w14:paraId="0000002A" w14:textId="77777777" w:rsidR="00C869B5" w:rsidRDefault="00000000">
      <w:pPr>
        <w:jc w:val="both"/>
        <w:rPr>
          <w:b/>
        </w:rPr>
      </w:pPr>
      <w:r>
        <w:rPr>
          <w:b/>
        </w:rPr>
        <w:t>Отдел репродуктивной токсичности</w:t>
      </w:r>
    </w:p>
    <w:p w14:paraId="0000002B" w14:textId="77777777" w:rsidR="00C869B5" w:rsidRDefault="00000000">
      <w:pPr>
        <w:numPr>
          <w:ilvl w:val="0"/>
          <w:numId w:val="5"/>
        </w:numPr>
        <w:jc w:val="both"/>
      </w:pPr>
      <w:r>
        <w:t xml:space="preserve">Исследование репродуктивной токсичности (генеративной токсичности и </w:t>
      </w:r>
      <w:proofErr w:type="spellStart"/>
      <w:r>
        <w:t>эмбрио</w:t>
      </w:r>
      <w:proofErr w:type="spellEnd"/>
      <w:r>
        <w:t xml:space="preserve">-и </w:t>
      </w:r>
      <w:proofErr w:type="spellStart"/>
      <w:r>
        <w:t>фетотоксического</w:t>
      </w:r>
      <w:proofErr w:type="spellEnd"/>
      <w:r>
        <w:t xml:space="preserve"> действия, регистрируемых в антенатальный и постнатальный периоды развития) в соответствии «Руководство по проведению доклинических исследований лекарственных средств» (под ред. Миронова А.Н., 2012 г.)</w:t>
      </w:r>
    </w:p>
    <w:p w14:paraId="0000002C" w14:textId="77777777" w:rsidR="00C869B5" w:rsidRDefault="00000000">
      <w:pPr>
        <w:numPr>
          <w:ilvl w:val="0"/>
          <w:numId w:val="5"/>
        </w:numPr>
        <w:jc w:val="both"/>
      </w:pPr>
      <w:r>
        <w:t>Исследование по оценке репродуктивной-онтогенетической токсичности с учетом ГОСТ 32379-2020; OECD Test №421:2016. скрининговый метод по оценке генеративной токсичности</w:t>
      </w:r>
    </w:p>
    <w:p w14:paraId="0000002D" w14:textId="77777777" w:rsidR="00C869B5" w:rsidRDefault="00000000">
      <w:pPr>
        <w:numPr>
          <w:ilvl w:val="0"/>
          <w:numId w:val="5"/>
        </w:numPr>
        <w:jc w:val="both"/>
      </w:pPr>
      <w:r>
        <w:t>Определение токсичности при повторном/многократном воздействии с одновременным определением оценки репродуктивной-эмбриональной токсичности скрининговым методом (ГОСТ 34555-2019; OECD Test №422:2016);</w:t>
      </w:r>
    </w:p>
    <w:p w14:paraId="0000002E" w14:textId="77777777" w:rsidR="00C869B5" w:rsidRDefault="00000000">
      <w:pPr>
        <w:numPr>
          <w:ilvl w:val="0"/>
          <w:numId w:val="5"/>
        </w:numPr>
        <w:jc w:val="both"/>
      </w:pPr>
      <w:r>
        <w:t>Испытания по оценке токсического воздействия на пренатальное развитие. (ГОСТ 32380-</w:t>
      </w:r>
      <w:proofErr w:type="gramStart"/>
      <w:r>
        <w:t>2020;OECD</w:t>
      </w:r>
      <w:proofErr w:type="gramEnd"/>
      <w:r>
        <w:t xml:space="preserve"> Test №414:2018).</w:t>
      </w:r>
    </w:p>
    <w:p w14:paraId="0000002F" w14:textId="77777777" w:rsidR="00C869B5" w:rsidRDefault="00000000">
      <w:pPr>
        <w:numPr>
          <w:ilvl w:val="0"/>
          <w:numId w:val="5"/>
        </w:numPr>
        <w:jc w:val="both"/>
      </w:pPr>
      <w:r>
        <w:t>Испытания по оценке репродуктивной токсичности одного поколения (ГОСТ 32378-2013; OECD, Test №415:2007, IDT)</w:t>
      </w:r>
    </w:p>
    <w:p w14:paraId="00000030" w14:textId="77777777" w:rsidR="00C869B5" w:rsidRDefault="00000000">
      <w:pPr>
        <w:numPr>
          <w:ilvl w:val="0"/>
          <w:numId w:val="5"/>
        </w:numPr>
        <w:jc w:val="both"/>
      </w:pPr>
      <w:r>
        <w:t>Испытания по оценке репродуктивной токсичности двух поколений (ГОСТ 34554-2019 OECD Test №416:2001).</w:t>
      </w:r>
    </w:p>
    <w:p w14:paraId="00000031" w14:textId="77777777" w:rsidR="00C869B5" w:rsidRDefault="00000000">
      <w:pPr>
        <w:numPr>
          <w:ilvl w:val="0"/>
          <w:numId w:val="5"/>
        </w:numPr>
        <w:jc w:val="both"/>
      </w:pPr>
      <w:r>
        <w:lastRenderedPageBreak/>
        <w:t>Руководство по применению критериев классификации опасности химической продукции по воздействию на организм. Репродуктивная токсичность, определяем класс опасности фармакологического вещества (ГОСТ Р 57452-2017)</w:t>
      </w:r>
    </w:p>
    <w:p w14:paraId="00000032" w14:textId="77777777" w:rsidR="00C869B5" w:rsidRDefault="00000000">
      <w:pPr>
        <w:numPr>
          <w:ilvl w:val="0"/>
          <w:numId w:val="5"/>
        </w:numPr>
        <w:jc w:val="both"/>
      </w:pPr>
      <w:r>
        <w:t>Испытания по оценке токсического воздействия на пренатальное развитие. (ГОСТ 32380-</w:t>
      </w:r>
      <w:proofErr w:type="gramStart"/>
      <w:r>
        <w:t>2020;OECD</w:t>
      </w:r>
      <w:proofErr w:type="gramEnd"/>
      <w:r>
        <w:t xml:space="preserve"> Test №414:2018).</w:t>
      </w:r>
    </w:p>
    <w:p w14:paraId="00000033" w14:textId="77777777" w:rsidR="00C869B5" w:rsidRDefault="00C869B5">
      <w:pPr>
        <w:jc w:val="both"/>
      </w:pPr>
    </w:p>
    <w:p w14:paraId="00000034" w14:textId="77777777" w:rsidR="00C869B5" w:rsidRDefault="00000000">
      <w:pPr>
        <w:jc w:val="both"/>
        <w:rPr>
          <w:b/>
        </w:rPr>
      </w:pPr>
      <w:r>
        <w:rPr>
          <w:b/>
        </w:rPr>
        <w:t xml:space="preserve">Отдел </w:t>
      </w:r>
      <w:proofErr w:type="spellStart"/>
      <w:r>
        <w:rPr>
          <w:b/>
        </w:rPr>
        <w:t>генотоксичности</w:t>
      </w:r>
      <w:proofErr w:type="spellEnd"/>
      <w:r>
        <w:rPr>
          <w:b/>
        </w:rPr>
        <w:t xml:space="preserve"> и мутагенеза</w:t>
      </w:r>
    </w:p>
    <w:p w14:paraId="00000035" w14:textId="77777777" w:rsidR="00C869B5" w:rsidRDefault="00000000">
      <w:pPr>
        <w:numPr>
          <w:ilvl w:val="0"/>
          <w:numId w:val="3"/>
        </w:numPr>
        <w:jc w:val="both"/>
      </w:pPr>
      <w:r>
        <w:t xml:space="preserve">Исследование мутагенной активности (на </w:t>
      </w:r>
      <w:proofErr w:type="spellStart"/>
      <w:r>
        <w:t>Salmonella</w:t>
      </w:r>
      <w:proofErr w:type="spellEnd"/>
      <w:r>
        <w:t xml:space="preserve"> </w:t>
      </w:r>
      <w:proofErr w:type="spellStart"/>
      <w:r>
        <w:t>typhimurium</w:t>
      </w:r>
      <w:proofErr w:type="spellEnd"/>
      <w:r>
        <w:t>, штаммы TA100, TA98 и TA1537) в тесте Эймса (</w:t>
      </w:r>
      <w:proofErr w:type="spellStart"/>
      <w:r>
        <w:t>микропланшетный</w:t>
      </w:r>
      <w:proofErr w:type="spellEnd"/>
      <w:r>
        <w:t xml:space="preserve"> формат).</w:t>
      </w:r>
    </w:p>
    <w:p w14:paraId="00000036" w14:textId="77777777" w:rsidR="00C869B5" w:rsidRDefault="00000000">
      <w:pPr>
        <w:numPr>
          <w:ilvl w:val="0"/>
          <w:numId w:val="3"/>
        </w:numPr>
        <w:jc w:val="both"/>
        <w:sectPr w:rsidR="00C869B5">
          <w:pgSz w:w="11906" w:h="16838"/>
          <w:pgMar w:top="720" w:right="720" w:bottom="720" w:left="720" w:header="720" w:footer="720" w:gutter="0"/>
          <w:cols w:space="720"/>
        </w:sectPr>
      </w:pPr>
      <w:r>
        <w:t xml:space="preserve"> Оценка ДНК-повреждений методом щелочного гель-электрофореза отдельных клеток (Метод ДНК-Комет) в фармакологических исследованиях </w:t>
      </w:r>
      <w:proofErr w:type="spellStart"/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vivо</w:t>
      </w:r>
      <w:proofErr w:type="spellEnd"/>
      <w:r>
        <w:t xml:space="preserve"> (тест ОЭСО №489) </w:t>
      </w:r>
    </w:p>
    <w:p w14:paraId="00000037" w14:textId="77777777" w:rsidR="00C869B5" w:rsidRDefault="00000000">
      <w:pPr>
        <w:jc w:val="center"/>
        <w:rPr>
          <w:b/>
        </w:rPr>
      </w:pPr>
      <w:r>
        <w:rPr>
          <w:b/>
        </w:rPr>
        <w:lastRenderedPageBreak/>
        <w:t xml:space="preserve">Лаборатория </w:t>
      </w:r>
      <w:proofErr w:type="spellStart"/>
      <w:r>
        <w:rPr>
          <w:b/>
        </w:rPr>
        <w:t>нейротехнологий</w:t>
      </w:r>
      <w:proofErr w:type="spellEnd"/>
      <w:r>
        <w:rPr>
          <w:b/>
        </w:rPr>
        <w:t xml:space="preserve"> и анализа биомедицинских данных</w:t>
      </w:r>
    </w:p>
    <w:p w14:paraId="00000038" w14:textId="77777777" w:rsidR="00C869B5" w:rsidRDefault="00C869B5">
      <w:pPr>
        <w:jc w:val="center"/>
      </w:pPr>
    </w:p>
    <w:p w14:paraId="00000039" w14:textId="77777777" w:rsidR="00C869B5" w:rsidRDefault="00000000">
      <w:pPr>
        <w:numPr>
          <w:ilvl w:val="0"/>
          <w:numId w:val="2"/>
        </w:numPr>
        <w:jc w:val="both"/>
      </w:pPr>
      <w:r>
        <w:t>Электроэнцефалография</w:t>
      </w:r>
    </w:p>
    <w:p w14:paraId="0000003A" w14:textId="77777777" w:rsidR="00C869B5" w:rsidRDefault="00000000">
      <w:pPr>
        <w:numPr>
          <w:ilvl w:val="0"/>
          <w:numId w:val="2"/>
        </w:numPr>
        <w:jc w:val="both"/>
      </w:pPr>
      <w:proofErr w:type="spellStart"/>
      <w:r>
        <w:t>Электрокортикография</w:t>
      </w:r>
      <w:proofErr w:type="spellEnd"/>
      <w:r>
        <w:t xml:space="preserve"> </w:t>
      </w:r>
    </w:p>
    <w:p w14:paraId="0000003B" w14:textId="77777777" w:rsidR="00C869B5" w:rsidRDefault="00000000">
      <w:pPr>
        <w:numPr>
          <w:ilvl w:val="0"/>
          <w:numId w:val="2"/>
        </w:numPr>
        <w:jc w:val="both"/>
      </w:pPr>
      <w:r>
        <w:t>Локальная регистрация полевых потенциалов</w:t>
      </w:r>
    </w:p>
    <w:p w14:paraId="0000003C" w14:textId="77777777" w:rsidR="00C869B5" w:rsidRDefault="00000000">
      <w:pPr>
        <w:numPr>
          <w:ilvl w:val="0"/>
          <w:numId w:val="2"/>
        </w:numPr>
        <w:jc w:val="both"/>
      </w:pPr>
      <w:r>
        <w:t xml:space="preserve">Регистрация мембранных токов методом </w:t>
      </w:r>
      <w:proofErr w:type="spellStart"/>
      <w:r>
        <w:t>patch</w:t>
      </w:r>
      <w:proofErr w:type="spellEnd"/>
      <w:r>
        <w:t xml:space="preserve"> </w:t>
      </w:r>
      <w:proofErr w:type="spellStart"/>
      <w:r>
        <w:t>clamp</w:t>
      </w:r>
      <w:proofErr w:type="spellEnd"/>
    </w:p>
    <w:p w14:paraId="0000003D" w14:textId="77777777" w:rsidR="00C869B5" w:rsidRDefault="00000000">
      <w:pPr>
        <w:numPr>
          <w:ilvl w:val="0"/>
          <w:numId w:val="2"/>
        </w:numPr>
        <w:jc w:val="both"/>
      </w:pPr>
      <w:r>
        <w:t xml:space="preserve">Регистрация биоэлектрической активности срезов/нейрональных культур на </w:t>
      </w:r>
      <w:proofErr w:type="spellStart"/>
      <w:r>
        <w:t>мультиэлектродных</w:t>
      </w:r>
      <w:proofErr w:type="spellEnd"/>
      <w:r>
        <w:t xml:space="preserve"> матрицах при моделировании патологических состояний центральной нервной системы</w:t>
      </w:r>
    </w:p>
    <w:p w14:paraId="0000003E" w14:textId="77777777" w:rsidR="00C869B5" w:rsidRDefault="00000000">
      <w:pPr>
        <w:numPr>
          <w:ilvl w:val="0"/>
          <w:numId w:val="2"/>
        </w:numPr>
        <w:jc w:val="both"/>
      </w:pPr>
      <w:r>
        <w:t xml:space="preserve">Модель психоза, индуцированного антагонистами NMDA-рецепторов (фенциклидин, кетамин, </w:t>
      </w:r>
      <w:proofErr w:type="spellStart"/>
      <w:r>
        <w:t>дизоципин</w:t>
      </w:r>
      <w:proofErr w:type="spellEnd"/>
      <w:r>
        <w:t>)</w:t>
      </w:r>
    </w:p>
    <w:p w14:paraId="0000003F" w14:textId="77777777" w:rsidR="00C869B5" w:rsidRDefault="00000000">
      <w:pPr>
        <w:numPr>
          <w:ilvl w:val="0"/>
          <w:numId w:val="2"/>
        </w:numPr>
        <w:jc w:val="both"/>
      </w:pPr>
      <w:r>
        <w:t xml:space="preserve">Модель материнской иммунной активации, индуцированной </w:t>
      </w:r>
      <w:proofErr w:type="spellStart"/>
      <w:r>
        <w:t>липополисахаридом</w:t>
      </w:r>
      <w:proofErr w:type="spellEnd"/>
      <w:r>
        <w:t xml:space="preserve"> (ЛПС) для моделирования психотических расстройств</w:t>
      </w:r>
    </w:p>
    <w:p w14:paraId="00000040" w14:textId="77777777" w:rsidR="00C869B5" w:rsidRDefault="00000000">
      <w:pPr>
        <w:numPr>
          <w:ilvl w:val="0"/>
          <w:numId w:val="2"/>
        </w:numPr>
        <w:jc w:val="both"/>
      </w:pPr>
      <w:r>
        <w:t>Модель неонатального поражения вентрального гиппокампа для моделирования психотических расстройств</w:t>
      </w:r>
    </w:p>
    <w:p w14:paraId="00000041" w14:textId="77777777" w:rsidR="00C869B5" w:rsidRDefault="00000000">
      <w:pPr>
        <w:numPr>
          <w:ilvl w:val="0"/>
          <w:numId w:val="2"/>
        </w:numPr>
        <w:jc w:val="both"/>
      </w:pPr>
      <w:r>
        <w:t>Модель максимального электрического шока (МЭШ)</w:t>
      </w:r>
    </w:p>
    <w:p w14:paraId="00000042" w14:textId="77777777" w:rsidR="00C869B5" w:rsidRDefault="00000000">
      <w:pPr>
        <w:numPr>
          <w:ilvl w:val="0"/>
          <w:numId w:val="2"/>
        </w:numPr>
        <w:jc w:val="both"/>
      </w:pPr>
      <w:r>
        <w:t>Хроническая модель спонтанных рецидивирующих судорог, индуцируемая пилокарпином</w:t>
      </w:r>
    </w:p>
    <w:p w14:paraId="00000043" w14:textId="77777777" w:rsidR="00C869B5" w:rsidRDefault="00000000">
      <w:pPr>
        <w:numPr>
          <w:ilvl w:val="0"/>
          <w:numId w:val="2"/>
        </w:numPr>
        <w:jc w:val="both"/>
      </w:pPr>
      <w:proofErr w:type="spellStart"/>
      <w:r>
        <w:t>Субконвульсивный</w:t>
      </w:r>
      <w:proofErr w:type="spellEnd"/>
      <w:r>
        <w:t xml:space="preserve"> </w:t>
      </w:r>
      <w:proofErr w:type="spellStart"/>
      <w:r>
        <w:t>коразоловый</w:t>
      </w:r>
      <w:proofErr w:type="spellEnd"/>
      <w:r>
        <w:t xml:space="preserve"> </w:t>
      </w:r>
      <w:proofErr w:type="spellStart"/>
      <w:r>
        <w:t>киндлинг</w:t>
      </w:r>
      <w:proofErr w:type="spellEnd"/>
    </w:p>
    <w:p w14:paraId="00000044" w14:textId="77777777" w:rsidR="00C869B5" w:rsidRDefault="00000000">
      <w:pPr>
        <w:numPr>
          <w:ilvl w:val="0"/>
          <w:numId w:val="2"/>
        </w:numPr>
        <w:jc w:val="both"/>
      </w:pPr>
      <w:r>
        <w:t xml:space="preserve">Модель </w:t>
      </w:r>
      <w:proofErr w:type="spellStart"/>
      <w:r>
        <w:t>киндлинга</w:t>
      </w:r>
      <w:proofErr w:type="spellEnd"/>
      <w:r>
        <w:t xml:space="preserve"> при хронической ингаляции паров этанола для воспроизведения судорожных состояний при синдроме отмены</w:t>
      </w:r>
    </w:p>
    <w:p w14:paraId="00000045" w14:textId="77777777" w:rsidR="00C869B5" w:rsidRDefault="00000000">
      <w:pPr>
        <w:numPr>
          <w:ilvl w:val="0"/>
          <w:numId w:val="2"/>
        </w:numPr>
        <w:jc w:val="both"/>
      </w:pPr>
      <w:r>
        <w:t xml:space="preserve">Модель </w:t>
      </w:r>
      <w:proofErr w:type="spellStart"/>
      <w:r>
        <w:t>нейровоспаления</w:t>
      </w:r>
      <w:proofErr w:type="spellEnd"/>
      <w:r>
        <w:t xml:space="preserve">, вызванного системным введением </w:t>
      </w:r>
      <w:proofErr w:type="spellStart"/>
      <w:r>
        <w:t>липополисахарида</w:t>
      </w:r>
      <w:proofErr w:type="spellEnd"/>
    </w:p>
    <w:p w14:paraId="00000046" w14:textId="77777777" w:rsidR="00C869B5" w:rsidRDefault="00000000">
      <w:pPr>
        <w:numPr>
          <w:ilvl w:val="0"/>
          <w:numId w:val="2"/>
        </w:numPr>
        <w:jc w:val="both"/>
      </w:pPr>
      <w:r>
        <w:t>Нейросетевой анализ электрофизиологических данных</w:t>
      </w:r>
    </w:p>
    <w:p w14:paraId="00000047" w14:textId="77777777" w:rsidR="00C869B5" w:rsidRDefault="00000000">
      <w:pPr>
        <w:numPr>
          <w:ilvl w:val="0"/>
          <w:numId w:val="2"/>
        </w:numPr>
        <w:jc w:val="both"/>
      </w:pPr>
      <w:r>
        <w:t>Искусственный интеллект для обработки биомедицинских данных</w:t>
      </w:r>
    </w:p>
    <w:p w14:paraId="00000048" w14:textId="77777777" w:rsidR="00C869B5" w:rsidRDefault="00C869B5">
      <w:pPr>
        <w:ind w:left="720"/>
      </w:pPr>
    </w:p>
    <w:p w14:paraId="00000049" w14:textId="77777777" w:rsidR="00C869B5" w:rsidRDefault="00C869B5"/>
    <w:p w14:paraId="0000004A" w14:textId="77777777" w:rsidR="00C869B5" w:rsidRDefault="00C869B5"/>
    <w:sectPr w:rsidR="00C869B5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2F4A"/>
    <w:multiLevelType w:val="multilevel"/>
    <w:tmpl w:val="DF0418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A76917"/>
    <w:multiLevelType w:val="multilevel"/>
    <w:tmpl w:val="C7B630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6012537"/>
    <w:multiLevelType w:val="multilevel"/>
    <w:tmpl w:val="D214FC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7703D6E"/>
    <w:multiLevelType w:val="multilevel"/>
    <w:tmpl w:val="C56C5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0F363B8"/>
    <w:multiLevelType w:val="multilevel"/>
    <w:tmpl w:val="9A7867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38891083">
    <w:abstractNumId w:val="4"/>
  </w:num>
  <w:num w:numId="2" w16cid:durableId="1688020853">
    <w:abstractNumId w:val="3"/>
  </w:num>
  <w:num w:numId="3" w16cid:durableId="1797218124">
    <w:abstractNumId w:val="2"/>
  </w:num>
  <w:num w:numId="4" w16cid:durableId="1818183890">
    <w:abstractNumId w:val="1"/>
  </w:num>
  <w:num w:numId="5" w16cid:durableId="145728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B5"/>
    <w:rsid w:val="00267F22"/>
    <w:rsid w:val="00730457"/>
    <w:rsid w:val="00C8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EA733-E3BA-4A79-90F8-DB20D624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Дерягин</dc:creator>
  <cp:lastModifiedBy>Денис Дерягин</cp:lastModifiedBy>
  <cp:revision>2</cp:revision>
  <dcterms:created xsi:type="dcterms:W3CDTF">2025-05-09T17:26:00Z</dcterms:created>
  <dcterms:modified xsi:type="dcterms:W3CDTF">2025-05-09T17:26:00Z</dcterms:modified>
</cp:coreProperties>
</file>