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41" w:rsidRPr="00815F66" w:rsidRDefault="008D6B41" w:rsidP="008D6B41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>
        <w:proofErr w:type="spellStart"/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815F66">
        <w:rPr>
          <w:rFonts w:ascii="Times New Roman" w:hAnsi="Times New Roman" w:cs="Times New Roman"/>
          <w:sz w:val="24"/>
          <w:szCs w:val="24"/>
        </w:rPr>
        <w:br/>
      </w:r>
    </w:p>
    <w:p w:rsidR="008D6B41" w:rsidRPr="00815F66" w:rsidRDefault="008D6B41" w:rsidP="008D6B4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Зарегистрировано в Минюсте России 27 мая 2022 г. N 68607</w:t>
      </w:r>
    </w:p>
    <w:p w:rsidR="008D6B41" w:rsidRPr="00815F66" w:rsidRDefault="008D6B41" w:rsidP="008D6B41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8D6B41" w:rsidRPr="00815F66" w:rsidRDefault="008D6B41" w:rsidP="008D6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ПРИКАЗ</w:t>
      </w:r>
    </w:p>
    <w:p w:rsidR="008D6B41" w:rsidRPr="00815F66" w:rsidRDefault="008D6B41" w:rsidP="008D6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от 2 февраля 2022 г. N 46н</w:t>
      </w:r>
    </w:p>
    <w:p w:rsidR="008D6B41" w:rsidRPr="00815F66" w:rsidRDefault="008D6B41" w:rsidP="008D6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8D6B41" w:rsidRPr="00815F66" w:rsidRDefault="008D6B41" w:rsidP="008D6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ОБ ОРГАНИЗАЦИИ КЛИНИЧЕСКОЙ АПРОБАЦИИ МЕТОДОВ ПРОФИЛАКТИКИ,</w:t>
      </w:r>
    </w:p>
    <w:p w:rsidR="008D6B41" w:rsidRPr="00815F66" w:rsidRDefault="008D6B41" w:rsidP="008D6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ДИАГНОСТИКИ, ЛЕЧЕНИЯ И РЕАБИЛИТАЦИИ И ОКАЗАНИЯ МЕДИЦИНСКОЙ</w:t>
      </w:r>
    </w:p>
    <w:p w:rsidR="008D6B41" w:rsidRPr="00815F66" w:rsidRDefault="008D6B41" w:rsidP="008D6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ПОМОЩИ В РАМКАХ КЛИНИЧЕСКОЙ АПРОБАЦИИ МЕТОДОВ ПРОФИЛАКТИКИ,</w:t>
      </w:r>
    </w:p>
    <w:p w:rsidR="008D6B41" w:rsidRPr="00815F66" w:rsidRDefault="008D6B41" w:rsidP="008D6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5F66">
        <w:rPr>
          <w:rFonts w:ascii="Times New Roman" w:hAnsi="Times New Roman" w:cs="Times New Roman"/>
          <w:sz w:val="24"/>
          <w:szCs w:val="24"/>
        </w:rPr>
        <w:t>ДИАГНОСТИКИ, ЛЕЧЕНИЯ И РЕАБИЛИТАЦИИ (В ТОМ ЧИСЛЕ ПОРЯДКА</w:t>
      </w:r>
      <w:proofErr w:type="gramEnd"/>
    </w:p>
    <w:p w:rsidR="008D6B41" w:rsidRPr="00815F66" w:rsidRDefault="008D6B41" w:rsidP="008D6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НАПРАВЛЕНИЯ ПАЦИЕНТОВ ДЛЯ ОКАЗАНИЯ </w:t>
      </w:r>
      <w:proofErr w:type="gramStart"/>
      <w:r w:rsidRPr="00815F66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 xml:space="preserve"> МЕДИЦИНСКОЙ</w:t>
      </w:r>
    </w:p>
    <w:p w:rsidR="008D6B41" w:rsidRPr="00815F66" w:rsidRDefault="008D6B41" w:rsidP="008D6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5F66">
        <w:rPr>
          <w:rFonts w:ascii="Times New Roman" w:hAnsi="Times New Roman" w:cs="Times New Roman"/>
          <w:sz w:val="24"/>
          <w:szCs w:val="24"/>
        </w:rPr>
        <w:t>ПОМОЩИ), ТИПОВОЙ ФОРМЫ ПРОТОКОЛА КЛИНИЧЕСКОЙ АПРОБАЦИИ</w:t>
      </w:r>
      <w:proofErr w:type="gramEnd"/>
    </w:p>
    <w:p w:rsidR="008D6B41" w:rsidRPr="00815F66" w:rsidRDefault="008D6B41" w:rsidP="008D6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МЕТОДОВ ПРОФИЛАКТИКИ, ДИАГНОСТИКИ, ЛЕЧЕНИЯ И РЕАБИЛИТАЦИИ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15F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36.1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5159) приказываю:</w:t>
      </w:r>
    </w:p>
    <w:p w:rsidR="008D6B41" w:rsidRPr="00815F66" w:rsidRDefault="008D6B41" w:rsidP="00815F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1. Утвердить:</w:t>
      </w:r>
    </w:p>
    <w:p w:rsidR="008D6B41" w:rsidRPr="00815F66" w:rsidRDefault="008D6B41" w:rsidP="00815F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38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порядок направления пациентов для оказания такой медицинской помощи) согласно приложению N 1;</w:t>
      </w:r>
    </w:p>
    <w:p w:rsidR="008D6B41" w:rsidRPr="00815F66" w:rsidRDefault="008D6B41" w:rsidP="00815F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типовую </w:t>
      </w:r>
      <w:hyperlink w:anchor="P355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протокола клинической апробации методов профилактики, диагностики, лечения и реабилитации согласно приложению N 2.</w:t>
      </w:r>
    </w:p>
    <w:p w:rsidR="008D6B41" w:rsidRPr="00815F66" w:rsidRDefault="008D6B41" w:rsidP="00815F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15F66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6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 июля 2015 г. N 433н "Об утверждении Положения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Порядка направления пациентов для оказания такой медицинской помощи), типовой формы протокола клинической апробации методов профилактики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>, диагностики, лечения и реабилитации" (зарегистрирован Министерством юстиции Российской Федерации 30 июля 2015 г., регистрационный N 38264).</w:t>
      </w:r>
    </w:p>
    <w:p w:rsidR="008D6B41" w:rsidRPr="00815F66" w:rsidRDefault="008D6B41" w:rsidP="00815F6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3. Настоящий приказ вступает в силу с 1 сентября 2022 года и действует до 1 сентября 2023 года.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Министр</w:t>
      </w: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М.А.МУРАШКО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lastRenderedPageBreak/>
        <w:t>здравоохранения</w:t>
      </w: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от 2 февраля 2022 г. N 46н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815F66">
        <w:rPr>
          <w:rFonts w:ascii="Times New Roman" w:hAnsi="Times New Roman" w:cs="Times New Roman"/>
          <w:sz w:val="24"/>
          <w:szCs w:val="24"/>
        </w:rPr>
        <w:t>ПОЛОЖЕНИЕ</w:t>
      </w:r>
    </w:p>
    <w:p w:rsidR="008D6B41" w:rsidRPr="00815F66" w:rsidRDefault="008D6B41" w:rsidP="008D6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ОБ ОРГАНИЗАЦИИ КЛИНИЧЕСКОЙ АПРОБАЦИИ МЕТОДОВ ПРОФИЛАКТИКИ,</w:t>
      </w:r>
    </w:p>
    <w:p w:rsidR="008D6B41" w:rsidRPr="00815F66" w:rsidRDefault="008D6B41" w:rsidP="008D6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ДИАГНОСТИКИ, ЛЕЧЕНИЯ И РЕАБИЛИТАЦИИ И ОКАЗАНИЯ МЕДИЦИНСКОЙ</w:t>
      </w:r>
    </w:p>
    <w:p w:rsidR="008D6B41" w:rsidRPr="00815F66" w:rsidRDefault="008D6B41" w:rsidP="008D6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ПОМОЩИ В РАМКАХ КЛИНИЧЕСКОЙ АПРОБАЦИИ МЕТОДОВ ПРОФИЛАКТИКИ,</w:t>
      </w:r>
    </w:p>
    <w:p w:rsidR="008D6B41" w:rsidRPr="00815F66" w:rsidRDefault="008D6B41" w:rsidP="008D6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5F66">
        <w:rPr>
          <w:rFonts w:ascii="Times New Roman" w:hAnsi="Times New Roman" w:cs="Times New Roman"/>
          <w:sz w:val="24"/>
          <w:szCs w:val="24"/>
        </w:rPr>
        <w:t>ДИАГНОСТИКИ, ЛЕЧЕНИЯ И РЕАБИЛИТАЦИИ (В ТОМ ЧИСЛЕ ПОРЯДКА</w:t>
      </w:r>
      <w:proofErr w:type="gramEnd"/>
    </w:p>
    <w:p w:rsidR="008D6B41" w:rsidRPr="00815F66" w:rsidRDefault="008D6B41" w:rsidP="008D6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5F66">
        <w:rPr>
          <w:rFonts w:ascii="Times New Roman" w:hAnsi="Times New Roman" w:cs="Times New Roman"/>
          <w:sz w:val="24"/>
          <w:szCs w:val="24"/>
        </w:rPr>
        <w:t>НАПРАВЛЕНИЯ ПАЦИЕНТОВ ДЛЯ ОКАЗАНИЯ ТАКОЙ МЕДИЦИНСКОЙ ПОМОЩИ)</w:t>
      </w:r>
      <w:proofErr w:type="gramEnd"/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1. Настоящее Положение устанавливает правила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(далее - Положение) в медицинских и иных организациях, осуществляющих медицинскую деятельность, подведомственных федеральным органам исполнительной власти (далее - федеральные медицинские организации).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2. Клиническая апробация методов профилактики, диагностики, лечения и реабилитации (далее - клиническая апробация)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эффективности &lt;1&gt;.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36.1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N 323-ФЗ).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3. В целях исполнения функций по организации клинической апробации и оказания медицинской помощи в рамках клинической апробации Министерство здравоохранения Российской Федерации создает: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а) Экспертный совет Министерства здравоохранения Российской Федерации по вопросам организации клинической апробации &lt;2&gt; (далее - Экспертный совет);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F66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8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 июля 2015 г. N 434н "Об Экспертном совете Министерства здравоохранения Российской Федерации по вопросам организации клинической апробации методов профилактики, диагностики, лечения и реабилитации" (зарегистрирован Министерством юстиции Российской Федерации 27 июля 2015 г., регистрационный N 38197) с изменениями, внесенными приказом Министерства здравоохранения Российской Федерации от 25 августа 2017 г. N 562н (зарегистрирован Министерством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11 сентября 2017 г., регистрационный N 48138) (далее - приказ Минздрава России N 434н).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б) Этический комитет Министерства здравоохранения Российской Федерации &lt;3&gt; (далее - Этический комитет).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F66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9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 июля 2015 г. N 435н "Об Этическом комитете Министерства здравоохранения Российской Федерации" (зарегистрирован Министерством юстиции Российской Федерации 27 июля 2015 г., регистрационный N 38196) с изменениями, внесенными приказом Министерства здравоохранения Российской Федерации от 31 марта 2017 г. N 139н (зарегистрирован Министерством юстиции Российской Федерации 20 апреля 2017 г., регистрационный N 46451) </w:t>
      </w:r>
      <w:r w:rsidRPr="00815F66">
        <w:rPr>
          <w:rFonts w:ascii="Times New Roman" w:hAnsi="Times New Roman" w:cs="Times New Roman"/>
          <w:sz w:val="24"/>
          <w:szCs w:val="24"/>
        </w:rPr>
        <w:lastRenderedPageBreak/>
        <w:t>(далее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 xml:space="preserve"> - приказ Минздрава России N 435н).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4. Федеральная медицинская организация, научная или образовательная организация, осуществляющая деятельность в сфере охраны здоровья, являющаяся разработчиком протокола клинической апробации (далее - Разработчик), в срок до 1 марта текущего года направляет в Минздрав России письменное заявление на бумажном носителе и в электронном виде о рассмотрении протокола клинической апробации (далее - заявление), содержащее следующие сведения: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а) наименование и адрес Разработчика, контактная информация о Разработчике (телефоны, адрес электронной почты);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б) название предлагаемого для клинической апробации метода профилактики, диагностики, лечения и реабилитации;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в) число пациентов, необходимое для проведения клинической апробации.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815F66">
        <w:rPr>
          <w:rFonts w:ascii="Times New Roman" w:hAnsi="Times New Roman" w:cs="Times New Roman"/>
          <w:sz w:val="24"/>
          <w:szCs w:val="24"/>
        </w:rPr>
        <w:t>5. К заявлению прилагаются следующие документы: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а) протокол клинической апробации методов профилактики, диагностики, лечения и реабилитации, типовая форма которого установлена </w:t>
      </w:r>
      <w:hyperlink w:anchor="P355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б) индивидуальная регистрационная карта наблюдения пациента в рамках клинической апробации (далее - ИРК);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в) согласие на опубликование протокола клинической апробации на официальном сайте Минздрава России в информационно-телекоммуникационной сети "Интернет" (далее - сеть "Интернет").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6. Ответственным за обеспечение рассмотрения Экспертным советом и Этическим комитетом протоколов клинической апробации и рассмотрения отчетов об исполнении протоколов клинической апробации Экспертным советом определяется департамент Минздрава России в соответствии с его компетенцией (далее - ответственный департамент). Ответственный департамент в течение 5 рабочих дней со дня поступления заявления и прилагаемых к нему документов проверяет их на предмет соответствия требованиям настоящего Положения к оформлению заявления и комплектности прилагаемых к нему документов и в случае: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а) соответствия заявления и </w:t>
      </w:r>
      <w:proofErr w:type="gramStart"/>
      <w:r w:rsidRPr="00815F66">
        <w:rPr>
          <w:rFonts w:ascii="Times New Roman" w:hAnsi="Times New Roman" w:cs="Times New Roman"/>
          <w:sz w:val="24"/>
          <w:szCs w:val="24"/>
        </w:rPr>
        <w:t>комплектности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 xml:space="preserve"> прилагаемых к нему документов требованиям настоящего Положения направляет в течение 2 рабочих дней протокол клинической апробации на рассмотрение в Этический комитет и в федеральное государственное бюджетное учреждение, находящееся в ведении Минздрава России (далее - экспертная организация), для проведения экспертной оценки протокола клинической апробации и подготовки заключения по результатам экспертной оценки протокола клинической апробации;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9"/>
      <w:bookmarkEnd w:id="2"/>
      <w:proofErr w:type="gramStart"/>
      <w:r w:rsidRPr="00815F66">
        <w:rPr>
          <w:rFonts w:ascii="Times New Roman" w:hAnsi="Times New Roman" w:cs="Times New Roman"/>
          <w:sz w:val="24"/>
          <w:szCs w:val="24"/>
        </w:rPr>
        <w:t xml:space="preserve">б) несоответствия заявления и (или) комплектности прилагаемых к нему документов требованиям настоящего Положения и (или) непредставления одного или нескольких документов, указанных в </w:t>
      </w:r>
      <w:hyperlink w:anchor="P63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уведомляет Разработчика в письменном и в электронном виде об отклонении заявления и прилагаемых к нему документов от дальнейшего рассмотрения с указанием срока представления в Минздрав России доработанных заявления и прилагаемых к нему документов.</w:t>
      </w:r>
      <w:proofErr w:type="gramEnd"/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7. Максимальный срок представления Разработчиком в Минздрав России доработанных заявления и прилагаемых к нему документов - 10 рабочих дней со дня получения Разработчиком уведомления, указанного в </w:t>
      </w:r>
      <w:hyperlink w:anchor="P69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6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15F66">
        <w:rPr>
          <w:rFonts w:ascii="Times New Roman" w:hAnsi="Times New Roman" w:cs="Times New Roman"/>
          <w:sz w:val="24"/>
          <w:szCs w:val="24"/>
        </w:rPr>
        <w:t xml:space="preserve">В случае непредставления Разработчиком в Минздрав России недостающих документов (одного или нескольких), указанных в </w:t>
      </w:r>
      <w:hyperlink w:anchor="P63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настоящего Положения, или доработанных заявления и прилагаемых к нему документов, ответственный департамент в течение двух рабочих дней со дня истечения срока, указанного в </w:t>
      </w:r>
      <w:hyperlink w:anchor="P69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пункте "б" пункта 6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 Разработчику уведомление об отказе в рассмотрении заявления.</w:t>
      </w:r>
      <w:proofErr w:type="gramEnd"/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9. Экспертная оценка протокола клинической апробации, подготовка заключения по результатам экспертной оценки протокола клинической апробации и направление его в Минздрав России осуществляются экспертной организацией в срок, не превышающий 15 рабочих дней со дня поступления протокола клинической апробации в экспертную организацию.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lastRenderedPageBreak/>
        <w:t>При проведении экспертной оценки протокола клинической апробации осуществляется его проверка на предмет: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а) наличия данных о научной обоснованности и </w:t>
      </w:r>
      <w:proofErr w:type="gramStart"/>
      <w:r w:rsidRPr="00815F66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 xml:space="preserve"> полученных на стадии разработки метода профилактики, диагностики, лечения и реабилитации данных, включая доказательства клинической эффективности и безопасности метода профилактики, диагностики, лечения и реабилитации;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б) наличия государственной регистрации лекарственных препаратов для медицинского применения (далее - лекарственные препараты), медицинских изделий и специализированных продуктов лечебного питания, применение которых предусмотрено протоколом клинической апробации;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в) соответствия наименования лекарственного препарата, указанного в протоколе клинической апробации, международному непатентованному или </w:t>
      </w:r>
      <w:proofErr w:type="spellStart"/>
      <w:r w:rsidRPr="00815F66">
        <w:rPr>
          <w:rFonts w:ascii="Times New Roman" w:hAnsi="Times New Roman" w:cs="Times New Roman"/>
          <w:sz w:val="24"/>
          <w:szCs w:val="24"/>
        </w:rPr>
        <w:t>группировочному</w:t>
      </w:r>
      <w:proofErr w:type="spellEnd"/>
      <w:r w:rsidRPr="00815F66">
        <w:rPr>
          <w:rFonts w:ascii="Times New Roman" w:hAnsi="Times New Roman" w:cs="Times New Roman"/>
          <w:sz w:val="24"/>
          <w:szCs w:val="24"/>
        </w:rPr>
        <w:t>, или химическому наименованию лекарственного препарата, а в случаях их отсутствия - торговому наименованию лекарственного препарата;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г) соответствия показаний к применению и противопоказаний, способов применения и доз лекарственных препаратов, применение которых предусмотрено протоколом клинической апробации, инструкции по применению лекарственного препарата;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F6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15F66">
        <w:rPr>
          <w:rFonts w:ascii="Times New Roman" w:hAnsi="Times New Roman" w:cs="Times New Roman"/>
          <w:sz w:val="24"/>
          <w:szCs w:val="24"/>
        </w:rPr>
        <w:t>) соответствия показаний к применению и противопоказаний, функционального назначения и характеристик (свойств) медицинских изделий, применение которых предусмотрено протоколом клинической апробации, технической и (или) эксплуатационной документации производителя (изготовителя);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F66">
        <w:rPr>
          <w:rFonts w:ascii="Times New Roman" w:hAnsi="Times New Roman" w:cs="Times New Roman"/>
          <w:sz w:val="24"/>
          <w:szCs w:val="24"/>
        </w:rPr>
        <w:t xml:space="preserve">е) оценки эффективности и безопасности применяемого режима дозирования лекарственного препарата и (или) способа применения медицинского изделия при соответствующем заболевании в представленных клинических исследованиях лекарственных препаратов и (или) медицинских изделий, а также ссылок в ведущих отечественных и зарубежных рецензируемых научных журналах и изданиях при применении лекарственных препаратов и (или) медицинских изделий, зарегистрированных в соответствии с </w:t>
      </w:r>
      <w:hyperlink r:id="rId10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регистрации и экспертизы лекарственных средств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F66">
        <w:rPr>
          <w:rFonts w:ascii="Times New Roman" w:hAnsi="Times New Roman" w:cs="Times New Roman"/>
          <w:sz w:val="24"/>
          <w:szCs w:val="24"/>
        </w:rPr>
        <w:t xml:space="preserve">для медицинского применения, утвержденными Решением Совета Евразийской экономической комиссии от 3 ноября 2016 г. N 78 &lt;4&gt; (далее - Правила регистрации и экспертизы лекарственных средств для медицинского применения) и </w:t>
      </w:r>
      <w:hyperlink r:id="rId11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медицинских изделий, утвержденными постановлением Правительства Российской Федерации от 27 декабря 2012 г. N 1416 &lt;5&gt; (далее - Правила государственной регистрации медицинских изделий) в Российской Федерации, по параметрам применения, не указанным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F66">
        <w:rPr>
          <w:rFonts w:ascii="Times New Roman" w:hAnsi="Times New Roman" w:cs="Times New Roman"/>
          <w:sz w:val="24"/>
          <w:szCs w:val="24"/>
        </w:rPr>
        <w:t>в инструкциях по медицинскому применения лекарственного препарата, инструкциях по применению и (или) руководстве по эксплуатации медицинских изделий;</w:t>
      </w:r>
      <w:proofErr w:type="gramEnd"/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F66">
        <w:rPr>
          <w:rFonts w:ascii="Times New Roman" w:hAnsi="Times New Roman" w:cs="Times New Roman"/>
          <w:sz w:val="24"/>
          <w:szCs w:val="24"/>
        </w:rPr>
        <w:t>&lt;4&gt; Официальный сайт Евразийского экономического союза (далее - ЕАЭС) http://www.eaeunion.org/, 21 ноября 2016 г. с изменениями, внесенными Решениями Совета Евразийской экономической комиссии от 14 июня 2018 г. N 55 (официальный сайт ЕАЭС http://www.eaeunion.org/, 20 июля 2018 г.), от 30 января 2020 г. N 9 (официальный сайт ЕАЭС http://www.eaeunion.org/, 21 февраля 2020 г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 xml:space="preserve">.), </w:t>
      </w:r>
      <w:proofErr w:type="gramStart"/>
      <w:r w:rsidRPr="00815F66">
        <w:rPr>
          <w:rFonts w:ascii="Times New Roman" w:hAnsi="Times New Roman" w:cs="Times New Roman"/>
          <w:sz w:val="24"/>
          <w:szCs w:val="24"/>
        </w:rPr>
        <w:t>от 23 декабря 2020 г. N 128 (официальный сайт ЕАЭС http://www.eaeunion.org/, 31 декабря 2020 г.), от 5 марта 2021 г. N 14 (официальный сайт ЕАЭС http://www.eaeunion.org/, 6 апреля 2021 г.), от 23 апреля 2021 г. N 34 (официальный сайт ЕАЭС http://www.eaeunion.org/, 17 мая 2021 г.).</w:t>
      </w:r>
      <w:proofErr w:type="gramEnd"/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&lt;5&gt; Собрание законодательства Российской Федерации, 2013, N 1, ст. 14; 2020, N 49, ст. 7897.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ж) корректности описания используемых в рамках клинической апробации соответствующих показателей эффективности метода профилактики, диагностики, лечения и реабилитации;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F6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15F66">
        <w:rPr>
          <w:rFonts w:ascii="Times New Roman" w:hAnsi="Times New Roman" w:cs="Times New Roman"/>
          <w:sz w:val="24"/>
          <w:szCs w:val="24"/>
        </w:rPr>
        <w:t>) наличия информации о методе профилактики, диагностики, лечения и реабилитации, применяющемся в клинической практике, предложенном для сравнительного анализа в протоколе клинической апробации;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и) наличия описания статистических методов, используемых с целью анализа результатов клинической апробации, а также обоснованности расчета числа пациентов, участвующих в клинической апробации;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lastRenderedPageBreak/>
        <w:t>к) обоснованности описания объема финансовых затрат на оказание медицинской помощи в рамках клинической апробации.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15F66">
        <w:rPr>
          <w:rFonts w:ascii="Times New Roman" w:hAnsi="Times New Roman" w:cs="Times New Roman"/>
          <w:sz w:val="24"/>
          <w:szCs w:val="24"/>
        </w:rPr>
        <w:t xml:space="preserve">Протоколы клинической апробации в течение 15 рабочих дней со дня их поступления из Минздрава России рассматриваются на заседании Этического комитета и по каждому протоколу клинической апробации в соответствии с </w:t>
      </w:r>
      <w:hyperlink r:id="rId12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вынесения Этическим комитетом Министерства здравоохранения Российской Федерации заключения об этической обоснованности либо об этической необоснованности возможности применения методов профилактики, диагностики, лечения и реабилитации при оказании медицинской помощи в рамках клинической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 xml:space="preserve"> апробации, утвержденным приказом Минздрава России N 435н, Этический комитет выносит одно из следующих заключений: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9"/>
      <w:bookmarkEnd w:id="3"/>
      <w:r w:rsidRPr="00815F66">
        <w:rPr>
          <w:rFonts w:ascii="Times New Roman" w:hAnsi="Times New Roman" w:cs="Times New Roman"/>
          <w:sz w:val="24"/>
          <w:szCs w:val="24"/>
        </w:rPr>
        <w:t>а) об этической обоснованности возможности применения, указанного в протоколе клинической апробации метода профилактики, диагностики, лечения и реабилитации при оказании медицинской помощи в рамках клинической апробации и о согласовании протокола клинической апробации;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 w:rsidRPr="00815F66">
        <w:rPr>
          <w:rFonts w:ascii="Times New Roman" w:hAnsi="Times New Roman" w:cs="Times New Roman"/>
          <w:sz w:val="24"/>
          <w:szCs w:val="24"/>
        </w:rPr>
        <w:t>б) об этической необоснованности возможности применения, указанного в протоколе клинической апробации метода профилактики, диагностики, лечения и реабилитации при оказании медицинской помощи в рамках клинической апробации и о несогласовании протокола клинической апробации.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Заключения, указанные в </w:t>
      </w:r>
      <w:hyperlink w:anchor="P89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0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настоящего пункта, Этический комитет направляет в ответственный департамент.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11. В случае вынесения Этическим комитетом заключения, указанного в </w:t>
      </w:r>
      <w:hyperlink w:anchor="P89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10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настоящего Положения, ответственный департамент в течение двух рабочих дней направляет согласованный Этическим комитетом протокол клинической апробации и заключение по результатам экспертной оценки протокола клинической апробации в Экспертный совет.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12. Экспертный совет в течение 15 рабочих дней со дня получения согласованного Этическим комитетом протокола клинической апробации и заключения по результатам экспертной оценки протокола клинической апробации принимает одно из следующих решений: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4"/>
      <w:bookmarkEnd w:id="5"/>
      <w:r w:rsidRPr="00815F66">
        <w:rPr>
          <w:rFonts w:ascii="Times New Roman" w:hAnsi="Times New Roman" w:cs="Times New Roman"/>
          <w:sz w:val="24"/>
          <w:szCs w:val="24"/>
        </w:rPr>
        <w:t>а) дает разрешение на оказание медицинской помощи в рамках клинической апробации, включающее определение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б) отказывает в разрешении на оказание медицинской помощи в рамках клинической апробации.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13. В случае принятия решения, указанного в </w:t>
      </w:r>
      <w:hyperlink w:anchor="P94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12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настоящего Положения, Экспертный совет: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7"/>
      <w:bookmarkEnd w:id="6"/>
      <w:r w:rsidRPr="00815F66">
        <w:rPr>
          <w:rFonts w:ascii="Times New Roman" w:hAnsi="Times New Roman" w:cs="Times New Roman"/>
          <w:sz w:val="24"/>
          <w:szCs w:val="24"/>
        </w:rPr>
        <w:t>а) определяет сроки проведения клинической апробации;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б) проводит оценку финансовых затрат на оказание медицинской помощи по протоколу клинической апробации;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9"/>
      <w:bookmarkEnd w:id="7"/>
      <w:r w:rsidRPr="00815F66">
        <w:rPr>
          <w:rFonts w:ascii="Times New Roman" w:hAnsi="Times New Roman" w:cs="Times New Roman"/>
          <w:sz w:val="24"/>
          <w:szCs w:val="24"/>
        </w:rPr>
        <w:t>в) организует размещение протокола клинической апробации на официальном сайте Минздрава России в сети "Интернет".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Информация, указанная в </w:t>
      </w:r>
      <w:hyperlink w:anchor="P97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9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настоящего пункта, направляется Экспертным советом в ответственный департамент.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815F66">
        <w:rPr>
          <w:rFonts w:ascii="Times New Roman" w:hAnsi="Times New Roman" w:cs="Times New Roman"/>
          <w:sz w:val="24"/>
          <w:szCs w:val="24"/>
        </w:rPr>
        <w:t>Федеральная медицинская организация, желающая участвовать в оказании медицинской помощи в рамках клинической апробации, в течение 10 рабочих дней со дня размещения протокола клинической апробации на официальном сайте Минздрава России в сети "Интернет" направляет в Минздрав России письменное заявление на бумажном носителе и в электронном виде об участии в оказании медицинской помощи в рамках клинической апробации, которое подписывается руководителем федеральной медицинской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 xml:space="preserve"> организации (лицом, его замещающим) и заверяется печатью федеральной медицинской организации (далее - заявление об участии в клинической апробации).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15. Заявление об участии в клинической апробации содержит следующие сведения о федеральной медицинской организации: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lastRenderedPageBreak/>
        <w:t>а) наименование федеральной медицинской организации;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б) наименование метода профилактики, диагностики, лечения и реабилитации, указанного в протоколе клинической апробации;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в) наличие в соответствии с учредительными документами права на осуществление </w:t>
      </w:r>
      <w:proofErr w:type="gramStart"/>
      <w:r w:rsidRPr="00815F66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 xml:space="preserve"> деятельности, научной (научно-исследовательской) деятельности и права на проведение клинических исследований лекарственных препаратов, клинических испытаний медицинских изделий;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г) наличие структурных подразделений, коечного фонда, включая отделения реанимации и интенсивной терапии, обеспечивающих оказание медицинской помощи по соответствующим профилям с учетом видов, условий и форм оказания медицинской помощи;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F6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15F66">
        <w:rPr>
          <w:rFonts w:ascii="Times New Roman" w:hAnsi="Times New Roman" w:cs="Times New Roman"/>
          <w:sz w:val="24"/>
          <w:szCs w:val="24"/>
        </w:rPr>
        <w:t>) укомплектованность медицинскими работниками структурных подразделений федеральной медицинской организации, обеспечивающих оказание медицинской помощи;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е) доля врачей-специалистов, имеющих квалификационные категории, от общей численности врачей федеральной медицинской организации;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ж) доля сотрудников с высшим медицинским образованием, имеющих ученую степень кандидатов и/или докторов наук, из общего числа медицинских работников с высшим медицинским образованием;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F6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15F66">
        <w:rPr>
          <w:rFonts w:ascii="Times New Roman" w:hAnsi="Times New Roman" w:cs="Times New Roman"/>
          <w:sz w:val="24"/>
          <w:szCs w:val="24"/>
        </w:rPr>
        <w:t xml:space="preserve">) показатель индекса </w:t>
      </w:r>
      <w:proofErr w:type="spellStart"/>
      <w:r w:rsidRPr="00815F66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815F66">
        <w:rPr>
          <w:rFonts w:ascii="Times New Roman" w:hAnsi="Times New Roman" w:cs="Times New Roman"/>
          <w:sz w:val="24"/>
          <w:szCs w:val="24"/>
        </w:rPr>
        <w:t xml:space="preserve"> федеральной медицинской организации;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и) суммарный показатель </w:t>
      </w:r>
      <w:proofErr w:type="spellStart"/>
      <w:r w:rsidRPr="00815F66">
        <w:rPr>
          <w:rFonts w:ascii="Times New Roman" w:hAnsi="Times New Roman" w:cs="Times New Roman"/>
          <w:sz w:val="24"/>
          <w:szCs w:val="24"/>
        </w:rPr>
        <w:t>импакт-фактора</w:t>
      </w:r>
      <w:proofErr w:type="spellEnd"/>
      <w:r w:rsidRPr="00815F66">
        <w:rPr>
          <w:rFonts w:ascii="Times New Roman" w:hAnsi="Times New Roman" w:cs="Times New Roman"/>
          <w:sz w:val="24"/>
          <w:szCs w:val="24"/>
        </w:rPr>
        <w:t xml:space="preserve"> рецензируемых научных журналов и изданий, в том числе зарубежных, в которых опубликованы результаты научных исследований федеральной медицинской организации;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к) наличие опыта в реализации дополнительных профессиональных программ (программы повышения квалификации, программы профессиональной переподготовки), в том числе в рамках сетевой формы реализации образовательных программ;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л) наличие опыта взаимодействия с иностранными научными и медицинскими организациями в рамках международного сотрудничества или участие в международных клинических исследованиях (испытаниях) и (или) научных программах;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м) участие в реализации программ одной или нескольких научных платформ, определенных в соответствии с </w:t>
      </w:r>
      <w:hyperlink r:id="rId13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декабря 2012 г. N 2580-р &lt;6&gt;.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&lt;6&gt; Собрание законодательства Российской Федерации, 2013, N 2, ст. 111.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8"/>
      <w:bookmarkEnd w:id="8"/>
      <w:r w:rsidRPr="00815F66">
        <w:rPr>
          <w:rFonts w:ascii="Times New Roman" w:hAnsi="Times New Roman" w:cs="Times New Roman"/>
          <w:sz w:val="24"/>
          <w:szCs w:val="24"/>
        </w:rPr>
        <w:t>16. К заявлению об участии в клинической апробации прилагаются копии следующих документов: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а) устав федеральной медицинской организации;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б) лицензи</w:t>
      </w:r>
      <w:proofErr w:type="gramStart"/>
      <w:r w:rsidRPr="00815F6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>и) на медицинскую деятельность федеральной медицинской организации;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в) структура и штатное расписание федеральной медицинской организации.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17. Ответственный департамент в течение 5 рабочих дней со дня поступления из федеральной медицинской организации заявления об участии в клинической апробации и прилагаемых к нему документов проверяет их на предмет комплектности и соответствия требованиям настоящего Положения и в случаях: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а) соответствия заявления об участии в клинической апробации и прилагаемых к нему документов требованиям настоящего Положения направляет заявление об участии в клинической апробации и прилагаемые к нему документы на рассмотрение в Экспертный совет;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4"/>
      <w:bookmarkEnd w:id="9"/>
      <w:proofErr w:type="gramStart"/>
      <w:r w:rsidRPr="00815F66">
        <w:rPr>
          <w:rFonts w:ascii="Times New Roman" w:hAnsi="Times New Roman" w:cs="Times New Roman"/>
          <w:sz w:val="24"/>
          <w:szCs w:val="24"/>
        </w:rPr>
        <w:t xml:space="preserve">б) несоответствия заявления об участии в клинической апробации и (или) прилагаемых к нему документов требованиям настоящего Положения и (или) непредставления одного или нескольких документов, указанных в </w:t>
      </w:r>
      <w:hyperlink w:anchor="P118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уведомляет федеральную медицинскую организацию в письменном и электронном виде об отклонении заявления об участии в клинической апробации и прилагаемых к нему документов от дальнейшего рассмотрения с указанием срока представления доработанных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 xml:space="preserve"> заявления об участии в клинической апробации и (или) прилагаемых к нему документов.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5"/>
      <w:bookmarkEnd w:id="10"/>
      <w:r w:rsidRPr="00815F66">
        <w:rPr>
          <w:rFonts w:ascii="Times New Roman" w:hAnsi="Times New Roman" w:cs="Times New Roman"/>
          <w:sz w:val="24"/>
          <w:szCs w:val="24"/>
        </w:rPr>
        <w:t xml:space="preserve">18. Максимальный срок представления федеральной медицинской организацией в Минздрав </w:t>
      </w:r>
      <w:r w:rsidRPr="00815F66">
        <w:rPr>
          <w:rFonts w:ascii="Times New Roman" w:hAnsi="Times New Roman" w:cs="Times New Roman"/>
          <w:sz w:val="24"/>
          <w:szCs w:val="24"/>
        </w:rPr>
        <w:lastRenderedPageBreak/>
        <w:t xml:space="preserve">России доработанного заявления об участии в клинической апробации и (или) прилагаемых к нему документов - 10 рабочих дней со дня получения федеральной медицинской организацией уведомления, указанного в </w:t>
      </w:r>
      <w:hyperlink w:anchor="P124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17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815F66">
        <w:rPr>
          <w:rFonts w:ascii="Times New Roman" w:hAnsi="Times New Roman" w:cs="Times New Roman"/>
          <w:sz w:val="24"/>
          <w:szCs w:val="24"/>
        </w:rPr>
        <w:t xml:space="preserve">В случае непредставления федеральной медицинской организацией в Минздрав России недостающих документов (одного или нескольких), указанных в </w:t>
      </w:r>
      <w:hyperlink w:anchor="P118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настоящего Положения, или доработанных заявления об участии в клинической апробации и (или) прилагаемых к нему документов в максимальный срок, указанный в </w:t>
      </w:r>
      <w:hyperlink w:anchor="P125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настоящего Положения, ответственный департамент уведомляет федеральную медицинскую организацию в письменном и электронном виде об отказе в рассмотрении заявления об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F66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 xml:space="preserve"> в клинической апробации.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20. Заявление об участии в клинической апробации рассматривается на заседании Экспертного совета в течение 10 рабочих дней со дня его поступления из Минздрава России.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8"/>
      <w:bookmarkEnd w:id="11"/>
      <w:r w:rsidRPr="00815F66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815F66">
        <w:rPr>
          <w:rFonts w:ascii="Times New Roman" w:hAnsi="Times New Roman" w:cs="Times New Roman"/>
          <w:sz w:val="24"/>
          <w:szCs w:val="24"/>
        </w:rPr>
        <w:t xml:space="preserve">Экспертный совет на основании </w:t>
      </w:r>
      <w:hyperlink r:id="rId14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критериев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отбора федеральных медицинских организаций, установленных Правительством Российской Федерации (далее - критерии отбора) &lt;7&gt;, в соответствии с </w:t>
      </w:r>
      <w:hyperlink r:id="rId15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вынесения Экспертным советом Министерства здравоохранения Российской Федерации заключений по вопросам организации оказания медицинской помощи в рамках клинической апробации методов профилактики, диагностики, лечения и реабилитации, утвержденным приказом Минздрава России N 434н, определяет федеральные медицинские организации, участвующие в оказании медицинской помощи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 xml:space="preserve"> в рамках клинической апробации, и принимает одно из решений: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16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июля 2015 г. N 691 "Об утверждении критериев отбора медицинских организаций, участвующих в оказании медицинской помощи в рамках клинической апробации методов профилактики, диагностики, лечения и реабилитации" (Собрание законодательства Российской Федерации, 2015, N 29, ст. 4493; 2019, N 27, ст. 3575).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а) о соответствии федеральной медицинской организации </w:t>
      </w:r>
      <w:hyperlink r:id="rId17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критериям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отбора;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б) о несоответствии федеральной медицинской организации </w:t>
      </w:r>
      <w:hyperlink r:id="rId18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критериям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отбора.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22. Экспертный совет в течение 5 рабочих дней со дня принятия решений, указанных в </w:t>
      </w:r>
      <w:hyperlink w:anchor="P128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пункте 21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 в Минздрав России информацию о федеральных медицинских организациях, участвующих в оказании медицинской помощи в рамках клинической апробации по каждому протоколу клинической апробации.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23. Срок проведения клинической апробации может быть изменен (увеличен или уменьшен) по решению Экспертного совета, принятому на основании письменного заявления руководителя федеральной медицинской организации, содержащего обоснование необходимости изменения срока.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24. Руководитель федеральной медицинской организации назначает ответственных исполнителей протокола клинической апробации из числа работников федеральной медицинской организации.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25. В случае возникновения при оказании медицинской помощи в рамках клинической апробации непредвиденных и/или нежелательных явлений руководитель федеральной медицинской организации обязан приостановить проведение клинической апробации и незамедлительно проинформировать об этом Экспертный совет, Разработчика и Минздрав России.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Минздрав России незамедлительно информирует руководителей федеральных медицинских организаций, участвующих в оказании медицинской помощи в рамках клинической апробации, о возникновении непредвиденных и (или) нежелательных явлений при оказании медицинской помощи в рамках клинической апробации. Руководители федеральных медицинских организаций, участвующих в оказании медицинской помощи в рамках клинической апробации, при поступлении от Минздрава России указанной информации обязаны также приостановить проведение клинической апробации.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815F66">
        <w:rPr>
          <w:rFonts w:ascii="Times New Roman" w:hAnsi="Times New Roman" w:cs="Times New Roman"/>
          <w:sz w:val="24"/>
          <w:szCs w:val="24"/>
        </w:rPr>
        <w:t xml:space="preserve">Экспертный совет в течение трех рабочих дней со дня получения от федеральной медицинской организации информации о приостановлении проведения клинической </w:t>
      </w:r>
      <w:r w:rsidRPr="00815F66">
        <w:rPr>
          <w:rFonts w:ascii="Times New Roman" w:hAnsi="Times New Roman" w:cs="Times New Roman"/>
          <w:sz w:val="24"/>
          <w:szCs w:val="24"/>
        </w:rPr>
        <w:lastRenderedPageBreak/>
        <w:t>апробации в связи с возникновением непредвиденных и (или) нежелательных явлений при оказании медицинской помощи в рамках клинической апробации в федеральной медицинской организации принимает решение о досрочном прекращении клинической апробации в случае, если оказание медицинской помощи в рамках клинической апробации представляет угрозу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 xml:space="preserve"> жизни или здоровью пациентов.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Выписка из протокола заседания Экспертного совета в течение трех рабочих дней со дня его подписания направляется Разработчику, в федеральные медицинские организации, участвующие в данной клинической апробации, и в ответственный департамент.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27. Руководитель федеральной медицинской организации после досрочного прекращения клинической апробации обеспечивает дальнейшее оказание необходимой медицинской помощи пациентам в соответствии с </w:t>
      </w:r>
      <w:hyperlink r:id="rId19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37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Федерального закона N 323-ФЗ &lt;8&gt;.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&lt;8&gt; Собрание законодательства Российской Федерации, 2011, N 48, ст. 6724; 2022, N 1, ст. 51.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28. После завершения проведения клинической апробации федеральная медицинская организация составляет и направляет в Минздрав России отчет об исполнении протокола клинической апробации (далее - отчет) с приложением алгоритма оценки клинико-экономической эффективности прошедших клиническую апробацию методов профилактики, диагностики, лечения и реабилитации (рекомендуемый образец приведен в </w:t>
      </w:r>
      <w:hyperlink w:anchor="P238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к настоящему Положению) (далее - алгоритм оценки).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29. Оценка клинико-экономической эффективности применения прошедшего клиническую апробацию метода профилактики, диагностики, лечения и реабилитации проводится на основании: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а) общих показателей клинико-экономической эффективности метода профилактики, диагностики, лечения и реабилитации, указанных в </w:t>
      </w:r>
      <w:hyperlink w:anchor="P149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пункте 30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настоящего Положения, и показателей клинико-экономической эффективности метода профилактики, диагностики, лечения и реабилитации, указанных в протоколе клинической апробации;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б) сравнительного анализа между методом профилактики, диагностики, лечения и реабилитации, прошедшим клиническую апробацию и применяющимся в клинической практике, предложенным для сравнительного анализа в протоколе клинической апробации (далее - сравнительный анализ).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9"/>
      <w:bookmarkEnd w:id="12"/>
      <w:r w:rsidRPr="00815F66">
        <w:rPr>
          <w:rFonts w:ascii="Times New Roman" w:hAnsi="Times New Roman" w:cs="Times New Roman"/>
          <w:sz w:val="24"/>
          <w:szCs w:val="24"/>
        </w:rPr>
        <w:t>30. Общими показателями клинико-экономической эффективности метода профилактики, диагностики, лечения и реабилитации, прошедшего клиническую апробацию, являются: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а) возможность применения метода медицинскими организациями;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б) повышение качества оказания медицинской помощи (снижение уровня госпитализаций, снижение внутрибольничной летальности, увеличение длительности ремиссии, сокращение периода временной нетрудоспособности, снижение уровня </w:t>
      </w:r>
      <w:proofErr w:type="spellStart"/>
      <w:r w:rsidRPr="00815F66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815F66">
        <w:rPr>
          <w:rFonts w:ascii="Times New Roman" w:hAnsi="Times New Roman" w:cs="Times New Roman"/>
          <w:sz w:val="24"/>
          <w:szCs w:val="24"/>
        </w:rPr>
        <w:t xml:space="preserve">, снижение степени </w:t>
      </w:r>
      <w:proofErr w:type="spellStart"/>
      <w:r w:rsidRPr="00815F66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815F66">
        <w:rPr>
          <w:rFonts w:ascii="Times New Roman" w:hAnsi="Times New Roman" w:cs="Times New Roman"/>
          <w:sz w:val="24"/>
          <w:szCs w:val="24"/>
        </w:rPr>
        <w:t>, снижение риска развития заболеваний, установление диагноза на ранних стадиях развития заболеваний) &lt;9&gt;.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20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36.1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Федерального закона N 323-ФЗ.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31. При проведении сравнительного анализа учитываются: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а) количество дней (койко-дней), затраченных на оказание медицинской помощи пациентам;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б) средний объем финансовых затрат на оказание медицинской помощи с применением соответствующего метода одному пациенту;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в) частота осложнений;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г) результативность метода (выздоровление, улучшение, ухудшение, без перемен): указывается один или несколько из перечисленных показателей с указанием их значений.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32. Ответственный департамент в течение двух рабочих дней со дня поступления отчета от участвующей в клинической апробации федеральной медицинской организации направляет его в экспертную организацию.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lastRenderedPageBreak/>
        <w:t>33. Экспертная организация в срок, не превышающий 15 рабочих дней со дня поступления отчетов от всех участвующих в клинической апробации медицинских организаций, осуществляет экспертную оценку отчетов, подготовку заключения по результатам экспертной оценки отчетов об исполнении протокола клинической апробации (далее - заключение по результатам экспертной оценки отчетов) и направление его в Минздрав России.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При проведении экспертной оценки отчетов осуществляется их проверка на предмет обоснованности результатов оценки клинико-экономической эффективности применения прошедшего клиническую апробацию метода профилактики, диагностики, лечения и реабилитации.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34. Ответственный департамент в течение двух рабочих дней со дня получения от экспертной организации заключения по результатам экспертной оценки отчетов направляет в Экспертный совет отчеты медицинских организаций и заключение по результатам экспертной оценки отчетов.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35. Экспертный совет в течение трех рабочих дней со дня получения отчетов медицинских организаций и заключения по результатам экспертной оценки отчетов экспертной организации принимает решение: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а) о наличии клинико-экономической эффективности прошедшего клиническую апробацию метода профилактики, диагностики, лечения и реабилитации;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б) об отсутствии клинико-экономической эффективности прошедшего клиническую апробацию метода профилактики, диагностики, лечения и реабилитации.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36. Эффективным признается метод профилактики, диагностики, лечения и реабилитации, набравший в сумме не менее 1 балла по каждому показателю эффективности, указанному в алгоритме оценки, который: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а) требует меньше финансовых затрат, но при этом является не менее эффективным для профилактики, диагностики, лечения и реабилитации по сравнению с методом, уже применяющимся в клинической практике;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б) требует больше финансовых затрат, но при этом его дополнительные преимущества для профилактики, диагностики, лечения и реабилитации оправдывают дополнительные затраты.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37. Метод профилактики, диагностики, лечения и реабилитации, признанный Экспертным советом эффективным, рекомендуется Минздравом России медицинским профессиональным некоммерческим организациям для включения в клинические рекомендации.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815F66">
        <w:rPr>
          <w:rFonts w:ascii="Times New Roman" w:hAnsi="Times New Roman" w:cs="Times New Roman"/>
          <w:sz w:val="24"/>
          <w:szCs w:val="24"/>
        </w:rPr>
        <w:t xml:space="preserve">Отбор пациентов для оказания медицинской помощи в рамках клинической апробации осуществляется из числа пациентов, направленных в федеральную медицинскую организацию для оказания медицинской помощи в соответствии с </w:t>
      </w:r>
      <w:hyperlink r:id="rId21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 декабря 2014 г. N 796н "Об утверждением Положения об организации оказания специализированной, в том числе высокотехнологичной, медицинской помощи" &lt;10&gt;.</w:t>
      </w:r>
      <w:proofErr w:type="gramEnd"/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&lt;10&gt; Зарегистрирован Министерством юстиции Российской Федерации 2 февраля 2015 г., регистрационный N 35821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39. Решение о целесообразности оказания пациенту медицинской помощи в рамках клинической апробации принимает врачебная комиссия федеральной медицинской организации при наличии информированного добровольного согласия, данного в соответствии с </w:t>
      </w:r>
      <w:hyperlink r:id="rId22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36.1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Федерального закона N 323-ФЗ &lt;11&gt;.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&lt;11&gt; Собрание законодательства Российской Федерации, 2011, N 48, ст. 6724; 2021, N 27, ст. 5159.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40. Решение врачебной комиссии федеральной медицинской организации оформляется протоколом, содержащим следующие данные: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а) основание создания врачебной комиссии федеральной медицинской организации </w:t>
      </w:r>
      <w:r w:rsidRPr="00815F66">
        <w:rPr>
          <w:rFonts w:ascii="Times New Roman" w:hAnsi="Times New Roman" w:cs="Times New Roman"/>
          <w:sz w:val="24"/>
          <w:szCs w:val="24"/>
        </w:rPr>
        <w:lastRenderedPageBreak/>
        <w:t>(реквизиты нормативного акта);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б) дата принятия решения врачебной комиссии федеральной медицинской организации;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в) состав врачебной комиссии федеральной медицинской организации;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г) паспортные данные пациента (фамилия, имя, отчество (при наличии), дата рождения, сведения о месте жительства);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F6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15F66">
        <w:rPr>
          <w:rFonts w:ascii="Times New Roman" w:hAnsi="Times New Roman" w:cs="Times New Roman"/>
          <w:sz w:val="24"/>
          <w:szCs w:val="24"/>
        </w:rPr>
        <w:t>) диагноз заболевания (состояния) и кода диагноза по Международной статистической классификации болезней и проблем, связанных со здоровьем (далее - МКБ);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е) сведения о наличии информированного добровольного согласия;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ж) заключение врачебной комиссии федеральной медицинской организации о целесообразности оказания пациенту медицинской помощи в рамках клинической апробации с указанием диагноза, кода диагноза по </w:t>
      </w:r>
      <w:hyperlink r:id="rId23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МКБ</w:t>
        </w:r>
      </w:hyperlink>
      <w:r w:rsidRPr="00815F66">
        <w:rPr>
          <w:rFonts w:ascii="Times New Roman" w:hAnsi="Times New Roman" w:cs="Times New Roman"/>
          <w:sz w:val="24"/>
          <w:szCs w:val="24"/>
        </w:rPr>
        <w:t>, планируемой даты начала оказания пациенту медицинской помощи в рамках клинической апробации.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41. Протокол врачебной комиссии федеральной медицинской организации оформляется и хранится в форме электронного документа или на бумажном носителе в одном экземпляре в федеральной медицинской организации.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42. Федеральная медицинская организация с использованием доступных сре</w:t>
      </w:r>
      <w:proofErr w:type="gramStart"/>
      <w:r w:rsidRPr="00815F6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>язи (почта, телефон, телефон/факс, электронная почта) уведомляет направившую пациента медицинскую организацию о принятом решении врачебной комиссии федеральной медицинской организации в течение трех рабочих дней со дня подписания протокола врачебной комиссии федеральной медицинской организации.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По требованию пациента или его законного представителя выписка из протокола решения врачебной комиссии федеральной медицинской организации выдается на руки пациенту или его законному представителю.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43. Медицинская помощь в рамках клинической апробации может оказываться в амбулаторных условиях, в условиях дневного стационара и в стационарных условиях.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44. Медицинская помощь в рамках клинической апробации оказывается врачами-специалистами соответствующего профиля, работающими в федеральных медицинских организациях и имеющими стаж работы по специальности не менее 5 лет.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45. Медицинская помощь в рамках клинической апробации оказывается пациентам, нуждающимся в оказании медицинской помощи с применением методов профилактики, диагностики, лечения и реабилитации, указанных в протоколах клинической апробации (далее - пациент), за исключением граждан, указанных в </w:t>
      </w:r>
      <w:hyperlink w:anchor="P193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пункте 46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93"/>
      <w:bookmarkEnd w:id="13"/>
      <w:r w:rsidRPr="00815F66">
        <w:rPr>
          <w:rFonts w:ascii="Times New Roman" w:hAnsi="Times New Roman" w:cs="Times New Roman"/>
          <w:sz w:val="24"/>
          <w:szCs w:val="24"/>
        </w:rPr>
        <w:t>46. Оказание медицинской помощи в рамках клинической апробации запрещается с участием в качестве пациентов: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а) детей, женщин в период беременности, родов, женщин в период грудного вскармливания,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б) 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факторов;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в) лиц, страдающих психическими расстройствами, за исключением случаев, если соответствующие методы предназначены для лечения психических заболеваний &lt;12&gt;;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&lt;12&gt; </w:t>
      </w:r>
      <w:hyperlink r:id="rId24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Часть 7 статьи 36.1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Федерального закона N 323-ФЗ (Собрание законодательства Российской Федерации, 2011, N 48, ст. 6724).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г) лиц задержанных, заключенных под стражу, отбывающих наказание в виде ограничения свободы, ареста, лишения свободы либо административного ареста &lt;13&gt;;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lastRenderedPageBreak/>
        <w:t xml:space="preserve">&lt;13&gt; </w:t>
      </w:r>
      <w:hyperlink r:id="rId25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Часть 5 статьи 26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Федерального закона N 323-ФЗ (Собрание законодательства Российской Федерации, 2011, N 48, ст. 6724; 2015, N 10, ст. 1425).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Pr="00815F66">
        <w:rPr>
          <w:rFonts w:ascii="Times New Roman" w:hAnsi="Times New Roman" w:cs="Times New Roman"/>
          <w:sz w:val="24"/>
          <w:szCs w:val="24"/>
        </w:rPr>
        <w:t xml:space="preserve">При оказании медицинской помощи в рамках клинической апробации применяются лекарственные препараты и (или) медицинские изделия, зарегистрированные в соответствии с </w:t>
      </w:r>
      <w:hyperlink r:id="rId26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регистрации и экспертизы лекарственных средств для медицинского применения и </w:t>
      </w:r>
      <w:hyperlink r:id="rId27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медицинских изделий в Российской Федерации в соответствии с инструкциями по применению лекарственного препарата, инструкцией по применению или руководством по эксплуатации медицинского изделия.</w:t>
      </w:r>
      <w:proofErr w:type="gramEnd"/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F66">
        <w:rPr>
          <w:rFonts w:ascii="Times New Roman" w:hAnsi="Times New Roman" w:cs="Times New Roman"/>
          <w:sz w:val="24"/>
          <w:szCs w:val="24"/>
        </w:rPr>
        <w:t xml:space="preserve">Применение лекарственных препаратов и (или) медицинских изделий, зарегистрированных в соответствии с </w:t>
      </w:r>
      <w:hyperlink r:id="rId28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регистрации и экспертизы лекарственных средств для медицинского применения и </w:t>
      </w:r>
      <w:hyperlink r:id="rId29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медицинских изделий в Российской Федерации по параметрам применения, не указанным в инструкциях по медицинскому применению лекарственного препарата, инструкциях по применению и (или) руководстве по эксплуатации медицинских изделий, допускается в случае, если в протоколе клинической апробации указаны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 xml:space="preserve"> сведения по применению лекарственного препарата и (или) применению медицинского изделия с указанием ссылок на клинические исследования эффективности и безопасности применяемого режима дозирования лекарственного препарата и (или) способа применения медицинского изделия при данном заболевании либо ссылок в ведущих отечественных и (или) зарубежных рецензируемых научных журналах и изданиях.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F66">
        <w:rPr>
          <w:rFonts w:ascii="Times New Roman" w:hAnsi="Times New Roman" w:cs="Times New Roman"/>
          <w:sz w:val="24"/>
          <w:szCs w:val="24"/>
        </w:rPr>
        <w:t>Перед началом применения лекарственных препаратов и (или) медицинских изделий по параметрам применения, не указанным в инструкции по применению лекарственного препарата, инструкциях по применению и (или) руководстве по эксплуатации медицинских изделий, лечащий врач должен проинформировать пациента (в случаях, установленных законодательством Российской Федерации, родителей или законных представителей) о лекарственном препарате и (или) медицинском изделии, об ожидаемой эффективности предлагаемой терапии, о безопасности лекарственного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 xml:space="preserve"> препарата и (или) медицинского изделия, степени риска для пациента, а также о действиях в случае непредвиденных эффектов влияния лекарственного препарата или медицинского изделия на состояние его здоровья.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48. В рамках клинической апробации не проводятся клинические исследования лекарственных препаратов и клинические испытания медицинских изделий.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49. При оказании медицинской помощи в рамках клинической апробации применение соответствующих методов профилактики, диагностики, лечения и реабилитации осуществляется в соответствии с протоколом клинической апробации.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50. При оказании медицинской помощи в рамках клинической апробации ведется медицинская документация, а также ИРК на каждого пациента, оформленная в соответствии с требованиями, установленными протоколом клинической апробации.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ИРК вносится в медицинскую документацию пациента.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В правом верхнем углу титульного листа медицинской документации пациента ставится маркировка "КА".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51. Пациент или его законный представитель имеет право отказаться </w:t>
      </w:r>
      <w:proofErr w:type="gramStart"/>
      <w:r w:rsidRPr="00815F66">
        <w:rPr>
          <w:rFonts w:ascii="Times New Roman" w:hAnsi="Times New Roman" w:cs="Times New Roman"/>
          <w:sz w:val="24"/>
          <w:szCs w:val="24"/>
        </w:rPr>
        <w:t xml:space="preserve">от медицинской помощи в рамках клинической апробации на любом этапе ее оказания в соответствии со </w:t>
      </w:r>
      <w:hyperlink r:id="rId30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proofErr w:type="gramEnd"/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 xml:space="preserve"> 20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Федерального закона N 323-ФЗ &lt;14&gt;.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&lt;14&gt; Собрание законодательства Российской Федерации, 2011, N 48, ст. 6724; 2021, N 27, ст. 5159.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lastRenderedPageBreak/>
        <w:t>клинической апробации методов</w:t>
      </w: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профилактики, диагностики, лечения</w:t>
      </w: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и реабилитации и оказания</w:t>
      </w: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медицинской помощи в рамках</w:t>
      </w: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клинической апробации методов</w:t>
      </w: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профилактики, диагностики, лечения</w:t>
      </w: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15F66">
        <w:rPr>
          <w:rFonts w:ascii="Times New Roman" w:hAnsi="Times New Roman" w:cs="Times New Roman"/>
          <w:sz w:val="24"/>
          <w:szCs w:val="24"/>
        </w:rPr>
        <w:t>и реабилитации (в том числе порядка</w:t>
      </w:r>
      <w:proofErr w:type="gramEnd"/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направления пациентов для оказания</w:t>
      </w: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такой медицинской помощи),</w:t>
      </w: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15F66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от 2 февраля 2022 г. N 46н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238"/>
      <w:bookmarkEnd w:id="14"/>
      <w:r w:rsidRPr="00815F66">
        <w:rPr>
          <w:rFonts w:ascii="Times New Roman" w:hAnsi="Times New Roman" w:cs="Times New Roman"/>
          <w:sz w:val="24"/>
          <w:szCs w:val="24"/>
        </w:rPr>
        <w:t>Алгоритм</w:t>
      </w:r>
    </w:p>
    <w:p w:rsidR="008D6B41" w:rsidRPr="00815F66" w:rsidRDefault="008D6B41" w:rsidP="008D6B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оценки клинико-экономической эффективности </w:t>
      </w:r>
      <w:proofErr w:type="gramStart"/>
      <w:r w:rsidRPr="00815F66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</w:p>
    <w:p w:rsidR="008D6B41" w:rsidRPr="00815F66" w:rsidRDefault="008D6B41" w:rsidP="008D6B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клиническую апробацию методов профилактики, диагностики,</w:t>
      </w:r>
    </w:p>
    <w:p w:rsidR="008D6B41" w:rsidRPr="00815F66" w:rsidRDefault="008D6B41" w:rsidP="008D6B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лечения и реабилитации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I. Результаты количественной оценки эффективности метода</w:t>
      </w:r>
    </w:p>
    <w:p w:rsidR="008D6B41" w:rsidRPr="00815F66" w:rsidRDefault="008D6B41" w:rsidP="008D6B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профилактики, диагностики, лечения и реабилитации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68"/>
        <w:gridCol w:w="2890"/>
        <w:gridCol w:w="2211"/>
        <w:gridCol w:w="1189"/>
      </w:tblGrid>
      <w:tr w:rsidR="008D6B41" w:rsidRPr="00815F66">
        <w:tc>
          <w:tcPr>
            <w:tcW w:w="510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показателя оценки эффективности </w:t>
            </w:r>
            <w:hyperlink w:anchor="P339">
              <w:r w:rsidRPr="00815F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90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целевого результата</w:t>
            </w:r>
          </w:p>
        </w:tc>
        <w:tc>
          <w:tcPr>
            <w:tcW w:w="2211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gramStart"/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  <w:r w:rsidRPr="00815F6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(в процентах)</w:t>
            </w:r>
          </w:p>
        </w:tc>
        <w:tc>
          <w:tcPr>
            <w:tcW w:w="1189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8D6B41" w:rsidRPr="00815F66">
        <w:tc>
          <w:tcPr>
            <w:tcW w:w="510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6B41" w:rsidRPr="00815F66">
        <w:tc>
          <w:tcPr>
            <w:tcW w:w="510" w:type="dxa"/>
            <w:vMerge w:val="restart"/>
          </w:tcPr>
          <w:p w:rsidR="008D6B41" w:rsidRPr="00815F66" w:rsidRDefault="008D6B41" w:rsidP="008D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B41" w:rsidRPr="00815F66" w:rsidRDefault="008D6B41" w:rsidP="008D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890" w:type="dxa"/>
            <w:vAlign w:val="bottom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Целевой результат полностью достигнут</w:t>
            </w:r>
          </w:p>
        </w:tc>
        <w:tc>
          <w:tcPr>
            <w:tcW w:w="2211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75 - 100%</w:t>
            </w:r>
          </w:p>
        </w:tc>
        <w:tc>
          <w:tcPr>
            <w:tcW w:w="1189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B41" w:rsidRPr="00815F66">
        <w:tc>
          <w:tcPr>
            <w:tcW w:w="510" w:type="dxa"/>
            <w:vMerge/>
          </w:tcPr>
          <w:p w:rsidR="008D6B41" w:rsidRPr="00815F66" w:rsidRDefault="008D6B41" w:rsidP="008D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B41" w:rsidRPr="00815F66" w:rsidRDefault="008D6B41" w:rsidP="008D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890" w:type="dxa"/>
            <w:vAlign w:val="bottom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Целевой результат частично достигнут</w:t>
            </w:r>
          </w:p>
        </w:tc>
        <w:tc>
          <w:tcPr>
            <w:tcW w:w="2211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65 - 74%</w:t>
            </w:r>
          </w:p>
        </w:tc>
        <w:tc>
          <w:tcPr>
            <w:tcW w:w="1189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B41" w:rsidRPr="00815F66">
        <w:tc>
          <w:tcPr>
            <w:tcW w:w="510" w:type="dxa"/>
            <w:vMerge/>
          </w:tcPr>
          <w:p w:rsidR="008D6B41" w:rsidRPr="00815F66" w:rsidRDefault="008D6B41" w:rsidP="008D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B41" w:rsidRPr="00815F66" w:rsidRDefault="008D6B41" w:rsidP="008D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890" w:type="dxa"/>
            <w:vAlign w:val="bottom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Целевой результат не достигнут</w:t>
            </w:r>
          </w:p>
        </w:tc>
        <w:tc>
          <w:tcPr>
            <w:tcW w:w="2211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&lt; 65%</w:t>
            </w:r>
          </w:p>
        </w:tc>
        <w:tc>
          <w:tcPr>
            <w:tcW w:w="1189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B41" w:rsidRPr="00815F66">
        <w:tc>
          <w:tcPr>
            <w:tcW w:w="9068" w:type="dxa"/>
            <w:gridSpan w:val="5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Итого: средняя оценка эффективности (соотношение суммы баллов по каждому показателю эффективности к количеству критериев)</w:t>
            </w:r>
          </w:p>
        </w:tc>
      </w:tr>
    </w:tbl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II. Количественная оценка дополнительной ценности прошедшего</w:t>
      </w:r>
    </w:p>
    <w:p w:rsidR="008D6B41" w:rsidRPr="00815F66" w:rsidRDefault="008D6B41" w:rsidP="008D6B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клиническую апробацию метода профилактики, диагностики,</w:t>
      </w:r>
    </w:p>
    <w:p w:rsidR="008D6B41" w:rsidRPr="00815F66" w:rsidRDefault="008D6B41" w:rsidP="008D6B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лечения и реабилитации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78"/>
        <w:gridCol w:w="4139"/>
        <w:gridCol w:w="1644"/>
      </w:tblGrid>
      <w:tr w:rsidR="008D6B41" w:rsidRPr="00815F66">
        <w:tc>
          <w:tcPr>
            <w:tcW w:w="510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8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критерия дополнительной ценности </w:t>
            </w:r>
            <w:hyperlink w:anchor="P339">
              <w:r w:rsidRPr="00815F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139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Результат количественной оценки критерия дополнительной ценности</w:t>
            </w:r>
          </w:p>
        </w:tc>
        <w:tc>
          <w:tcPr>
            <w:tcW w:w="1644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Шкала оценки (баллы)</w:t>
            </w:r>
          </w:p>
        </w:tc>
      </w:tr>
      <w:tr w:rsidR="008D6B41" w:rsidRPr="00815F66">
        <w:tc>
          <w:tcPr>
            <w:tcW w:w="510" w:type="dxa"/>
            <w:vMerge w:val="restart"/>
          </w:tcPr>
          <w:p w:rsidR="008D6B41" w:rsidRPr="00815F66" w:rsidRDefault="008D6B41" w:rsidP="008D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D6B41" w:rsidRPr="00815F66" w:rsidRDefault="008D6B41" w:rsidP="008D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139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Имеет существенные клинические преимущества над методом сравнения</w:t>
            </w:r>
          </w:p>
        </w:tc>
        <w:tc>
          <w:tcPr>
            <w:tcW w:w="1644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</w:tr>
      <w:tr w:rsidR="008D6B41" w:rsidRPr="00815F66">
        <w:tc>
          <w:tcPr>
            <w:tcW w:w="510" w:type="dxa"/>
            <w:vMerge/>
          </w:tcPr>
          <w:p w:rsidR="008D6B41" w:rsidRPr="00815F66" w:rsidRDefault="008D6B41" w:rsidP="008D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D6B41" w:rsidRPr="00815F66" w:rsidRDefault="008D6B41" w:rsidP="008D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139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Имеет незначительные клинические преимущества над методом сравнения</w:t>
            </w:r>
          </w:p>
        </w:tc>
        <w:tc>
          <w:tcPr>
            <w:tcW w:w="1644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</w:tr>
      <w:tr w:rsidR="008D6B41" w:rsidRPr="00815F66">
        <w:tc>
          <w:tcPr>
            <w:tcW w:w="510" w:type="dxa"/>
            <w:vMerge/>
          </w:tcPr>
          <w:p w:rsidR="008D6B41" w:rsidRPr="00815F66" w:rsidRDefault="008D6B41" w:rsidP="008D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D6B41" w:rsidRPr="00815F66" w:rsidRDefault="008D6B41" w:rsidP="008D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139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Не имеет клинических преимуществ над методом сравнения</w:t>
            </w:r>
          </w:p>
        </w:tc>
        <w:tc>
          <w:tcPr>
            <w:tcW w:w="1644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B41" w:rsidRPr="00815F66">
        <w:tc>
          <w:tcPr>
            <w:tcW w:w="9071" w:type="dxa"/>
            <w:gridSpan w:val="4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Итого: средняя оценка дополнительной ценности (соотношение суммы баллов по каждому критерию дополнительной ценности к количеству критериев)</w:t>
            </w:r>
          </w:p>
        </w:tc>
      </w:tr>
    </w:tbl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III. Результаты количественной оценки безопасности</w:t>
      </w:r>
    </w:p>
    <w:p w:rsidR="008D6B41" w:rsidRPr="00815F66" w:rsidRDefault="008D6B41" w:rsidP="008D6B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применения метода профилактики, диагностики,</w:t>
      </w:r>
    </w:p>
    <w:p w:rsidR="008D6B41" w:rsidRPr="00815F66" w:rsidRDefault="008D6B41" w:rsidP="008D6B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лечения и реабилитации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1"/>
        <w:gridCol w:w="3571"/>
        <w:gridCol w:w="1757"/>
      </w:tblGrid>
      <w:tr w:rsidR="008D6B41" w:rsidRPr="00815F66">
        <w:tc>
          <w:tcPr>
            <w:tcW w:w="3741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Оценка уровня безопасности метода</w:t>
            </w:r>
          </w:p>
        </w:tc>
        <w:tc>
          <w:tcPr>
            <w:tcW w:w="3571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Число случаев осложнения (в процентах)</w:t>
            </w:r>
          </w:p>
        </w:tc>
        <w:tc>
          <w:tcPr>
            <w:tcW w:w="1757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8D6B41" w:rsidRPr="00815F66">
        <w:tc>
          <w:tcPr>
            <w:tcW w:w="3741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Прогнозируемые осложнения отсутствуют</w:t>
            </w:r>
          </w:p>
        </w:tc>
        <w:tc>
          <w:tcPr>
            <w:tcW w:w="3571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B41" w:rsidRPr="00815F66">
        <w:tc>
          <w:tcPr>
            <w:tcW w:w="3741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Незначительное число прогнозируемых осложнений</w:t>
            </w:r>
          </w:p>
        </w:tc>
        <w:tc>
          <w:tcPr>
            <w:tcW w:w="3571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&lt; 15%</w:t>
            </w:r>
          </w:p>
        </w:tc>
        <w:tc>
          <w:tcPr>
            <w:tcW w:w="1757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B41" w:rsidRPr="00815F66">
        <w:tc>
          <w:tcPr>
            <w:tcW w:w="3741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Значительное число прогнозируемых осложнений</w:t>
            </w:r>
          </w:p>
        </w:tc>
        <w:tc>
          <w:tcPr>
            <w:tcW w:w="3571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&gt;= 15%</w:t>
            </w:r>
          </w:p>
        </w:tc>
        <w:tc>
          <w:tcPr>
            <w:tcW w:w="1757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B41" w:rsidRPr="00815F66">
        <w:tc>
          <w:tcPr>
            <w:tcW w:w="3741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Непрогнозируемые тяжелые осложнения, угрожающие жизни и здоровью пациентов</w:t>
            </w:r>
          </w:p>
        </w:tc>
        <w:tc>
          <w:tcPr>
            <w:tcW w:w="3571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7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IV. Результаты клинико-экономической оценки метода</w:t>
      </w:r>
    </w:p>
    <w:p w:rsidR="008D6B41" w:rsidRPr="00815F66" w:rsidRDefault="008D6B41" w:rsidP="008D6B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профилактики, диагностики, лечения и реабилитации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4"/>
        <w:gridCol w:w="3466"/>
        <w:gridCol w:w="1757"/>
        <w:gridCol w:w="1134"/>
      </w:tblGrid>
      <w:tr w:rsidR="008D6B41" w:rsidRPr="00815F66">
        <w:tc>
          <w:tcPr>
            <w:tcW w:w="2664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466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Результат оценки</w:t>
            </w:r>
          </w:p>
        </w:tc>
        <w:tc>
          <w:tcPr>
            <w:tcW w:w="1757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134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8D6B41" w:rsidRPr="00815F66">
        <w:tc>
          <w:tcPr>
            <w:tcW w:w="2664" w:type="dxa"/>
            <w:vMerge w:val="restart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Сравнение средних объемов финансовых затрат на 1 случай оказания медицинской помощи с применением метода и уже применяющимся в клинической практике методом при оказании медицинской помощи</w:t>
            </w:r>
          </w:p>
        </w:tc>
        <w:tc>
          <w:tcPr>
            <w:tcW w:w="3466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Применение метода приводит к существенному снижению объема финансовых затрат на оказание медицинской помощи 1 пациенту</w:t>
            </w:r>
          </w:p>
        </w:tc>
        <w:tc>
          <w:tcPr>
            <w:tcW w:w="1757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&lt;= 40%</w:t>
            </w:r>
          </w:p>
        </w:tc>
        <w:tc>
          <w:tcPr>
            <w:tcW w:w="1134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B41" w:rsidRPr="00815F66">
        <w:tc>
          <w:tcPr>
            <w:tcW w:w="2664" w:type="dxa"/>
            <w:vMerge/>
          </w:tcPr>
          <w:p w:rsidR="008D6B41" w:rsidRPr="00815F66" w:rsidRDefault="008D6B41" w:rsidP="008D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Применение метода приводит к среднему снижению объема финансовых затрат на оказание медицинской помощи 1 пациенту</w:t>
            </w:r>
          </w:p>
        </w:tc>
        <w:tc>
          <w:tcPr>
            <w:tcW w:w="1757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&lt;= 15% - &lt;= 39%</w:t>
            </w:r>
          </w:p>
        </w:tc>
        <w:tc>
          <w:tcPr>
            <w:tcW w:w="1134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B41" w:rsidRPr="00815F66">
        <w:tc>
          <w:tcPr>
            <w:tcW w:w="2664" w:type="dxa"/>
            <w:vMerge/>
          </w:tcPr>
          <w:p w:rsidR="008D6B41" w:rsidRPr="00815F66" w:rsidRDefault="008D6B41" w:rsidP="008D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Применение метода приводит к незначительному снижению объема финансовых затрат на оказание медицинской помощи 1 пациенту</w:t>
            </w:r>
          </w:p>
        </w:tc>
        <w:tc>
          <w:tcPr>
            <w:tcW w:w="1757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&lt;= 1% - &lt;= 14%</w:t>
            </w:r>
          </w:p>
        </w:tc>
        <w:tc>
          <w:tcPr>
            <w:tcW w:w="1134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B41" w:rsidRPr="00815F66">
        <w:tc>
          <w:tcPr>
            <w:tcW w:w="2664" w:type="dxa"/>
            <w:vMerge/>
          </w:tcPr>
          <w:p w:rsidR="008D6B41" w:rsidRPr="00815F66" w:rsidRDefault="008D6B41" w:rsidP="008D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Применение метода не требует увеличения объема финансовых затрат на оказание медицинской помощи 1 пациенту</w:t>
            </w:r>
          </w:p>
        </w:tc>
        <w:tc>
          <w:tcPr>
            <w:tcW w:w="1757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B41" w:rsidRPr="00815F66">
        <w:tc>
          <w:tcPr>
            <w:tcW w:w="2664" w:type="dxa"/>
            <w:vMerge/>
          </w:tcPr>
          <w:p w:rsidR="008D6B41" w:rsidRPr="00815F66" w:rsidRDefault="008D6B41" w:rsidP="008D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Применение метода приводит к увеличению объема финансовых затрат на оказание медицинской помощи 1 пациенту</w:t>
            </w:r>
          </w:p>
        </w:tc>
        <w:tc>
          <w:tcPr>
            <w:tcW w:w="1757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&lt;= 1% - &lt; 10%</w:t>
            </w:r>
          </w:p>
        </w:tc>
        <w:tc>
          <w:tcPr>
            <w:tcW w:w="1134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8D6B41" w:rsidRPr="00815F66">
        <w:tc>
          <w:tcPr>
            <w:tcW w:w="2664" w:type="dxa"/>
            <w:vMerge/>
          </w:tcPr>
          <w:p w:rsidR="008D6B41" w:rsidRPr="00815F66" w:rsidRDefault="008D6B41" w:rsidP="008D6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Применение метода приводит к существенному увеличению объема финансовых затрат на оказание медицинской помощи 1 пациенту</w:t>
            </w:r>
          </w:p>
        </w:tc>
        <w:tc>
          <w:tcPr>
            <w:tcW w:w="1757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&gt;= 10% и выше</w:t>
            </w:r>
          </w:p>
        </w:tc>
        <w:tc>
          <w:tcPr>
            <w:tcW w:w="1134" w:type="dxa"/>
          </w:tcPr>
          <w:p w:rsidR="008D6B41" w:rsidRPr="00815F66" w:rsidRDefault="008D6B41" w:rsidP="008D6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39"/>
      <w:bookmarkEnd w:id="15"/>
      <w:r w:rsidRPr="00815F66">
        <w:rPr>
          <w:rFonts w:ascii="Times New Roman" w:hAnsi="Times New Roman" w:cs="Times New Roman"/>
          <w:sz w:val="24"/>
          <w:szCs w:val="24"/>
        </w:rPr>
        <w:t>&lt;*&gt; Высокая эффективность - клиническая апробация рекомендована к тиражированию;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Средняя эффективность - клиническая апробация нуждается в доработке, не рекомендована к тиражированию;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Низкая эффективность - клиническая апробация не рекомендована к тиражированию.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здравоохранения</w:t>
      </w: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от 2 февраля 2022 г. N 46н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55"/>
      <w:bookmarkEnd w:id="16"/>
      <w:r w:rsidRPr="00815F66">
        <w:rPr>
          <w:rFonts w:ascii="Times New Roman" w:hAnsi="Times New Roman" w:cs="Times New Roman"/>
          <w:sz w:val="24"/>
          <w:szCs w:val="24"/>
        </w:rPr>
        <w:t>Протокол</w:t>
      </w:r>
    </w:p>
    <w:p w:rsidR="008D6B41" w:rsidRPr="00815F66" w:rsidRDefault="008D6B41" w:rsidP="008D6B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клинической апробации методов профилактики, диагностики,</w:t>
      </w:r>
    </w:p>
    <w:p w:rsidR="008D6B41" w:rsidRPr="00815F66" w:rsidRDefault="008D6B41" w:rsidP="008D6B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лечения и реабилитации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Идентификационный N _________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Дата ____________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I. Паспортная часть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1. Название предлагаемого к проведению клинической апробации метода профилактики, диагностики, лечения и реабилитации (далее - метод).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2. Наименование и адрес федеральной медицинской организации, разработавшей протокол клинической апробации метода профилактики, диагностики, лечения и реабилитации (далее - протокол клинической апробации).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3. Фамилия, имя, отчество (при наличии) и должность лиц, уполномоченных от имени разработчика подписывать протокол клинической апробации.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II. Обоснование клинической апробации метода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4. Аннотация метода.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5. Актуальность метода для здравоохранения, включая организационные, клинические и экономические аспекты.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6. Новизна метода и (или) отличие его от известных аналогичных методов.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7. Краткое описание и частота известных и потенциальных рисков применения метода для пациентов, если таковые имеются, и прогнозируемых осложнений.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8. Ссылки на литературные источники публикаций результатов научных исследований метода или отдельных его составляющих (в том числе собственных публикаций) в рецензируемых научных журналах и изданиях, в том числе в зарубежных журналах (названия журналов/изданий, их </w:t>
      </w:r>
      <w:proofErr w:type="spellStart"/>
      <w:r w:rsidRPr="00815F66">
        <w:rPr>
          <w:rFonts w:ascii="Times New Roman" w:hAnsi="Times New Roman" w:cs="Times New Roman"/>
          <w:sz w:val="24"/>
          <w:szCs w:val="24"/>
        </w:rPr>
        <w:t>импакт-фактор</w:t>
      </w:r>
      <w:proofErr w:type="spellEnd"/>
      <w:r w:rsidRPr="00815F66">
        <w:rPr>
          <w:rFonts w:ascii="Times New Roman" w:hAnsi="Times New Roman" w:cs="Times New Roman"/>
          <w:sz w:val="24"/>
          <w:szCs w:val="24"/>
        </w:rPr>
        <w:t>).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9. Иные сведения, связанные с разработкой метода.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III. Цели и задачи клинической апробации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10. Детальное описание целей и задач клинической апробации.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IV. Дизайн клинической апробации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11. Научная обоснованность и достоверность полученных на стадии разработки метода данных, включая доказательства его безопасности.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12. Описание дизайна клинической апробации должно включать: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85"/>
      <w:bookmarkEnd w:id="17"/>
      <w:r w:rsidRPr="00815F66">
        <w:rPr>
          <w:rFonts w:ascii="Times New Roman" w:hAnsi="Times New Roman" w:cs="Times New Roman"/>
          <w:sz w:val="24"/>
          <w:szCs w:val="24"/>
        </w:rPr>
        <w:t>12.1. Указание основных и дополнительных (при наличии) исследуемых параметров, которые будут оцениваться в ходе клинической апробации;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12.2. Описание дизайна клинической апробации с графической схемой (этапы и процедуры, а также сроки и условия их проведения, иное);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12.3. Описание метода, инструкции по его проведению;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12.4. Ожидаемая продолжительность участия пациентов в клинической апробации, описание последовательности и продолжительности всех периодов клинической апробации, включая период последующего наблюдения, если таковой предусмотрен;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12.5. Перечень данных, регистрируемых непосредственно в индивидуальной регистрационной карте клинической апробации метода (без записи в медицинской документации пациента) и рассматриваемых в качестве параметров, указанных в </w:t>
      </w:r>
      <w:hyperlink w:anchor="P385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пункте 12.1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настоящего протокола клинической апробации.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V. Отбор и исключение пациентов, которым оказывается медицинская помощь в рамках клинической апробации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13. Критерии включения пациентов.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14. Критерии </w:t>
      </w:r>
      <w:proofErr w:type="spellStart"/>
      <w:r w:rsidRPr="00815F66">
        <w:rPr>
          <w:rFonts w:ascii="Times New Roman" w:hAnsi="Times New Roman" w:cs="Times New Roman"/>
          <w:sz w:val="24"/>
          <w:szCs w:val="24"/>
        </w:rPr>
        <w:t>невключения</w:t>
      </w:r>
      <w:proofErr w:type="spellEnd"/>
      <w:r w:rsidRPr="00815F66">
        <w:rPr>
          <w:rFonts w:ascii="Times New Roman" w:hAnsi="Times New Roman" w:cs="Times New Roman"/>
          <w:sz w:val="24"/>
          <w:szCs w:val="24"/>
        </w:rPr>
        <w:t xml:space="preserve"> пациентов.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15. Критерии исключения пациентов из клинической апробации (основания прекращения применения апробируемого метода).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VI. Медицинская помощь в рамках клинической апробации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16. Вид, форма и условия оказания медицинской помощи.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17. Перечень медицинских услуг (медицинских вмешательств).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18. Лекарственные препараты для медицинского применения, дозировка, частота приема, способ введения, а также продолжительность приема, включая периоды последующего наблюдения;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наименования специализированных продуктов лечебного питания, частота приема, объем используемого продукта лечебного питания;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lastRenderedPageBreak/>
        <w:t>перечень используемых биологических материалов;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наименования медицинских изделий, в том числе имплантируемых в организм человека;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иное.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VII. Оценка эффективности метода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19. Перечень показателей эффективности.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20. Перечень критериев дополнительной ценности.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21. Методы и сроки оценки, регистрации, учета и анализа показателей эффективности.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VIII. Статистика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22. Описание статистических методов, которые предполагается использовать на промежуточных этапах анализа результатов клинической апробации и при ее окончании. Уровень значимости применяемых статистических методов.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23. Планируемое число пациентов, которым будет оказана медицинская помощь в рамках клинической апробации с целью доказательной эффективности апробируемого метода. Обоснование числа пациентов, включая расчеты для обоснования.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IX. Объем финансовых затрат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24. Описание применяемого метода расчета объема финансовых затрат.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25. Предварительный расчет объема финансовых затрат на оказание медицинской помощи в рамках клинической апробации 1 пациенту, который включает: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перечень медицинских услуг (наименования и кратность применения);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перечень используемых лекарственных препаратов для медицинского применения (наименования и кратность применения), зарегистрированных в Российской Федерации в соответствии с </w:t>
      </w:r>
      <w:hyperlink r:id="rId31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регистрации и экспертизы лекарственных сре</w:t>
      </w:r>
      <w:proofErr w:type="gramStart"/>
      <w:r w:rsidRPr="00815F6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 xml:space="preserve">я медицинского применения, утвержденными Решением Совета Евразийской экономической комиссии от 3 ноября 2016 г. N 78 </w:t>
      </w:r>
      <w:hyperlink w:anchor="P436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815F66">
        <w:rPr>
          <w:rFonts w:ascii="Times New Roman" w:hAnsi="Times New Roman" w:cs="Times New Roman"/>
          <w:sz w:val="24"/>
          <w:szCs w:val="24"/>
        </w:rPr>
        <w:t>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 xml:space="preserve">перечень используемых медицинских изделий, в том числе имплантируемых в организм человека, зарегистрированных в Российской Федерации в соответствии с </w:t>
      </w:r>
      <w:hyperlink r:id="rId32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15F66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медицинских изделий, утвержденными постановлением Правительства Российской Федерации от 27 декабря 2012 г. N 1416 </w:t>
      </w:r>
      <w:hyperlink w:anchor="P438">
        <w:r w:rsidRPr="00815F66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815F66">
        <w:rPr>
          <w:rFonts w:ascii="Times New Roman" w:hAnsi="Times New Roman" w:cs="Times New Roman"/>
          <w:sz w:val="24"/>
          <w:szCs w:val="24"/>
        </w:rPr>
        <w:t>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перечень используемых биологических материалов (кровь, препараты крови, гемопоэтические клетки, донорские органы и ткани);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виды лечебного питания, включая специализированные продукты лечебного питания;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иное.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Подпись руководителя федеральной медицинской организации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Дата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М.П.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F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36"/>
      <w:bookmarkEnd w:id="18"/>
      <w:proofErr w:type="gramStart"/>
      <w:r w:rsidRPr="00815F66">
        <w:rPr>
          <w:rFonts w:ascii="Times New Roman" w:hAnsi="Times New Roman" w:cs="Times New Roman"/>
          <w:sz w:val="24"/>
          <w:szCs w:val="24"/>
        </w:rPr>
        <w:t>&lt;1&gt; Официальный сайт Евразийского экономического союза (далее - ЕАЭС) http://www.eaeunion.org/, 21 ноября 2016 г. с изменениями, внесенными Решениями Совета Евразийской экономической комиссии от 14 июня 2018 г. N 55 (официальный сайт ЕАЭС http://www.eaeunion.org/, 20 июля 2018 г.), от 30 января 2020 г. N 9 (официальный сайт ЕАЭС http://www.eaeunion.org/, 21 февраля 2020 г</w:t>
      </w:r>
      <w:proofErr w:type="gramEnd"/>
      <w:r w:rsidRPr="00815F66">
        <w:rPr>
          <w:rFonts w:ascii="Times New Roman" w:hAnsi="Times New Roman" w:cs="Times New Roman"/>
          <w:sz w:val="24"/>
          <w:szCs w:val="24"/>
        </w:rPr>
        <w:t xml:space="preserve">.), </w:t>
      </w:r>
      <w:proofErr w:type="gramStart"/>
      <w:r w:rsidRPr="00815F66">
        <w:rPr>
          <w:rFonts w:ascii="Times New Roman" w:hAnsi="Times New Roman" w:cs="Times New Roman"/>
          <w:sz w:val="24"/>
          <w:szCs w:val="24"/>
        </w:rPr>
        <w:t>от 23 декабря 2020 г. N 128 (официальный сайт ЕАЭС http://www.eaeunion.org/, 31 декабря 2020 г.), от 5 марта 2021 г. N 14 (официальный сайт ЕАЭС http://www.eaeunion.org/, 6 апреля 2021 г.), от 23 апреля 2021 г. N 34 (официальный сайт ЕАЭС http://www.eaeunion.org/, 17 мая 2021 г.).</w:t>
      </w:r>
      <w:proofErr w:type="gramEnd"/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38"/>
      <w:bookmarkEnd w:id="19"/>
      <w:r w:rsidRPr="00815F66">
        <w:rPr>
          <w:rFonts w:ascii="Times New Roman" w:hAnsi="Times New Roman" w:cs="Times New Roman"/>
          <w:sz w:val="24"/>
          <w:szCs w:val="24"/>
        </w:rPr>
        <w:lastRenderedPageBreak/>
        <w:t>&lt;2&gt; Собрание законодательства Российской Федерации, 2013, N 1, ст. 14; 2020, N 49, ст. 7897.</w:t>
      </w: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B41" w:rsidRPr="00815F66" w:rsidRDefault="008D6B41" w:rsidP="008D6B41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966BB" w:rsidRPr="00815F66" w:rsidRDefault="005966BB" w:rsidP="008D6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966BB" w:rsidRPr="00815F66" w:rsidSect="00A7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6B41"/>
    <w:rsid w:val="005966BB"/>
    <w:rsid w:val="00815F66"/>
    <w:rsid w:val="008D6B41"/>
    <w:rsid w:val="00A7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B4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8D6B41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customStyle="1" w:styleId="ConsPlusTitlePage">
    <w:name w:val="ConsPlusTitlePage"/>
    <w:rsid w:val="008D6B41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character" w:styleId="a3">
    <w:name w:val="Hyperlink"/>
    <w:basedOn w:val="a0"/>
    <w:uiPriority w:val="99"/>
    <w:unhideWhenUsed/>
    <w:rsid w:val="00815F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330792032B2B7ED79D0A12EC390DF7FCEDC55A7CE7523C7FD9F4B5C5BBBFE4980769A81BCC8F99AC91033787887AAE5637E16192CC5E1Z139H" TargetMode="External"/><Relationship Id="rId13" Type="http://schemas.openxmlformats.org/officeDocument/2006/relationships/hyperlink" Target="consultantplus://offline/ref=32C330792032B2B7ED79D0A12EC390DF7CCDDB51A7CF7523C7FD9F4B5C5BBBFE5B802E9682BCD6FF92DC46623EZ23FH" TargetMode="External"/><Relationship Id="rId18" Type="http://schemas.openxmlformats.org/officeDocument/2006/relationships/hyperlink" Target="consultantplus://offline/ref=32C330792032B2B7ED79D0A12EC390DF7ECBD352A1C27523C7FD9F4B5C5BBBFE4980769A81BCC8FE9BC91033787887AAE5637E16192CC5E1Z139H" TargetMode="External"/><Relationship Id="rId26" Type="http://schemas.openxmlformats.org/officeDocument/2006/relationships/hyperlink" Target="consultantplus://offline/ref=32C330792032B2B7ED79D0A12EC390DF79CBDC55A4C57523C7FD9F4B5C5BBBFE4980769A81BCC8FC95C91033787887AAE5637E16192CC5E1Z13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C330792032B2B7ED79D0A12EC390DF7CC1DE5AA7C17523C7FD9F4B5C5BBBFE5B802E9682BCD6FF92DC46623EZ23F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2C330792032B2B7ED79D0A12EC390DF79C8DD51A6CF7523C7FD9F4B5C5BBBFE4980769286B79CAFD79749613C338BA8FB7F7F15Z035H" TargetMode="External"/><Relationship Id="rId12" Type="http://schemas.openxmlformats.org/officeDocument/2006/relationships/hyperlink" Target="consultantplus://offline/ref=32C330792032B2B7ED79D0A12EC390DF7FC8DE5BA1C07523C7FD9F4B5C5BBBFE4980769A81BCC9FE96C91033787887AAE5637E16192CC5E1Z139H" TargetMode="External"/><Relationship Id="rId17" Type="http://schemas.openxmlformats.org/officeDocument/2006/relationships/hyperlink" Target="consultantplus://offline/ref=32C330792032B2B7ED79D0A12EC390DF7ECBD352A1C27523C7FD9F4B5C5BBBFE4980769A81BCC8FE9BC91033787887AAE5637E16192CC5E1Z139H" TargetMode="External"/><Relationship Id="rId25" Type="http://schemas.openxmlformats.org/officeDocument/2006/relationships/hyperlink" Target="consultantplus://offline/ref=32C330792032B2B7ED79D0A12EC390DF79C8DD51A6CF7523C7FD9F4B5C5BBBFE4980769284B79CAFD79749613C338BA8FB7F7F15Z035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C330792032B2B7ED79D0A12EC390DF7ECBD352A1C27523C7FD9F4B5C5BBBFE5B802E9682BCD6FF92DC46623EZ23FH" TargetMode="External"/><Relationship Id="rId20" Type="http://schemas.openxmlformats.org/officeDocument/2006/relationships/hyperlink" Target="consultantplus://offline/ref=32C330792032B2B7ED79D0A12EC390DF79C8DD51A6CF7523C7FD9F4B5C5BBBFE4980769286B79CAFD79749613C338BA8FB7F7F15Z035H" TargetMode="External"/><Relationship Id="rId29" Type="http://schemas.openxmlformats.org/officeDocument/2006/relationships/hyperlink" Target="consultantplus://offline/ref=32C330792032B2B7ED79D0A12EC390DF7ECFD253A5C07523C7FD9F4B5C5BBBFE4980769A81BCC8FF96C91033787887AAE5637E16192CC5E1Z13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330792032B2B7ED79D0A12EC390DF7CC0DF51A1C07523C7FD9F4B5C5BBBFE5B802E9682BCD6FF92DC46623EZ23FH" TargetMode="External"/><Relationship Id="rId11" Type="http://schemas.openxmlformats.org/officeDocument/2006/relationships/hyperlink" Target="consultantplus://offline/ref=32C330792032B2B7ED79D0A12EC390DF7ECFD253A5C07523C7FD9F4B5C5BBBFE4980769A81BCC8FF96C91033787887AAE5637E16192CC5E1Z139H" TargetMode="External"/><Relationship Id="rId24" Type="http://schemas.openxmlformats.org/officeDocument/2006/relationships/hyperlink" Target="consultantplus://offline/ref=32C330792032B2B7ED79D0A12EC390DF79C8DD51A6CF7523C7FD9F4B5C5BBBFE4980769A81BFC3AAC286116F3F2D94A8E4637D1705Z23CH" TargetMode="External"/><Relationship Id="rId32" Type="http://schemas.openxmlformats.org/officeDocument/2006/relationships/hyperlink" Target="consultantplus://offline/ref=32C330792032B2B7ED79D0A12EC390DF7ECFD253A5C07523C7FD9F4B5C5BBBFE4980769A81BCC8FF96C91033787887AAE5637E16192CC5E1Z139H" TargetMode="External"/><Relationship Id="rId5" Type="http://schemas.openxmlformats.org/officeDocument/2006/relationships/hyperlink" Target="consultantplus://offline/ref=32C330792032B2B7ED79D0A12EC390DF79C8DD51A6CF7523C7FD9F4B5C5BBBFE4980769A81BDC3AAC286116F3F2D94A8E4637D1705Z23CH" TargetMode="External"/><Relationship Id="rId15" Type="http://schemas.openxmlformats.org/officeDocument/2006/relationships/hyperlink" Target="consultantplus://offline/ref=32C330792032B2B7ED79D0A12EC390DF7FCEDC55A7CE7523C7FD9F4B5C5BBBFE4980769A81BCC9FF91C91033787887AAE5637E16192CC5E1Z139H" TargetMode="External"/><Relationship Id="rId23" Type="http://schemas.openxmlformats.org/officeDocument/2006/relationships/hyperlink" Target="consultantplus://offline/ref=32C330792032B2B7ED79D9B829C390DF7ACFD85AA7C77523C7FD9F4B5C5BBBFE5B802E9682BCD6FF92DC46623EZ23FH" TargetMode="External"/><Relationship Id="rId28" Type="http://schemas.openxmlformats.org/officeDocument/2006/relationships/hyperlink" Target="consultantplus://offline/ref=32C330792032B2B7ED79D0A12EC390DF79CBDC55A4C57523C7FD9F4B5C5BBBFE4980769A81BCC8FC95C91033787887AAE5637E16192CC5E1Z139H" TargetMode="External"/><Relationship Id="rId10" Type="http://schemas.openxmlformats.org/officeDocument/2006/relationships/hyperlink" Target="consultantplus://offline/ref=32C330792032B2B7ED79D0A12EC390DF79CBDC55A4C57523C7FD9F4B5C5BBBFE4980769A81BCC8FC95C91033787887AAE5637E16192CC5E1Z139H" TargetMode="External"/><Relationship Id="rId19" Type="http://schemas.openxmlformats.org/officeDocument/2006/relationships/hyperlink" Target="consultantplus://offline/ref=32C330792032B2B7ED79D0A12EC390DF79C8DD51A6CF7523C7FD9F4B5C5BBBFE4980769884BEC3AAC286116F3F2D94A8E4637D1705Z23CH" TargetMode="External"/><Relationship Id="rId31" Type="http://schemas.openxmlformats.org/officeDocument/2006/relationships/hyperlink" Target="consultantplus://offline/ref=32C330792032B2B7ED79D0A12EC390DF79CBDC55A4C57523C7FD9F4B5C5BBBFE4980769A81BCC8FC95C91033787887AAE5637E16192CC5E1Z13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2C330792032B2B7ED79D0A12EC390DF7FC8DE5BA1C07523C7FD9F4B5C5BBBFE4980769A81BCC8F696C91033787887AAE5637E16192CC5E1Z139H" TargetMode="External"/><Relationship Id="rId14" Type="http://schemas.openxmlformats.org/officeDocument/2006/relationships/hyperlink" Target="consultantplus://offline/ref=32C330792032B2B7ED79D0A12EC390DF7ECBD352A1C27523C7FD9F4B5C5BBBFE4980769A81BCC8FE9BC91033787887AAE5637E16192CC5E1Z139H" TargetMode="External"/><Relationship Id="rId22" Type="http://schemas.openxmlformats.org/officeDocument/2006/relationships/hyperlink" Target="consultantplus://offline/ref=32C330792032B2B7ED79D0A12EC390DF79C8DD51A6CF7523C7FD9F4B5C5BBBFE4980769A81BEC3AAC286116F3F2D94A8E4637D1705Z23CH" TargetMode="External"/><Relationship Id="rId27" Type="http://schemas.openxmlformats.org/officeDocument/2006/relationships/hyperlink" Target="consultantplus://offline/ref=32C330792032B2B7ED79D0A12EC390DF7ECFD253A5C07523C7FD9F4B5C5BBBFE4980769A81BCC8FF96C91033787887AAE5637E16192CC5E1Z139H" TargetMode="External"/><Relationship Id="rId30" Type="http://schemas.openxmlformats.org/officeDocument/2006/relationships/hyperlink" Target="consultantplus://offline/ref=32C330792032B2B7ED79D0A12EC390DF79C8DD51A6CF7523C7FD9F4B5C5BBBFE4980769A81BCCAFB91C91033787887AAE5637E16192CC5E1Z13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7951</Words>
  <Characters>45324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53169</CharactersWithSpaces>
  <SharedDoc>false</SharedDoc>
  <HLinks>
    <vt:vector size="330" baseType="variant">
      <vt:variant>
        <vt:i4>786499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P438</vt:lpwstr>
      </vt:variant>
      <vt:variant>
        <vt:i4>6881385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consultantplus://offline/ref=32C330792032B2B7ED79D0A12EC390DF7ECFD253A5C07523C7FD9F4B5C5BBBFE4980769A81BCC8FF96C91033787887AAE5637E16192CC5E1Z139H</vt:lpwstr>
      </vt:variant>
      <vt:variant>
        <vt:lpwstr/>
      </vt:variant>
      <vt:variant>
        <vt:i4>131139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P436</vt:lpwstr>
      </vt:variant>
      <vt:variant>
        <vt:i4>6881380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consultantplus://offline/ref=32C330792032B2B7ED79D0A12EC390DF79CBDC55A4C57523C7FD9F4B5C5BBBFE4980769A81BCC8FC95C91033787887AAE5637E16192CC5E1Z139H</vt:lpwstr>
      </vt:variant>
      <vt:variant>
        <vt:lpwstr/>
      </vt:variant>
      <vt:variant>
        <vt:i4>393288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P385</vt:lpwstr>
      </vt:variant>
      <vt:variant>
        <vt:i4>655427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655427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6881328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consultantplus://offline/ref=32C330792032B2B7ED79D0A12EC390DF79C8DD51A6CF7523C7FD9F4B5C5BBBFE4980769A81BCCAFB91C91033787887AAE5637E16192CC5E1Z139H</vt:lpwstr>
      </vt:variant>
      <vt:variant>
        <vt:lpwstr/>
      </vt:variant>
      <vt:variant>
        <vt:i4>6881385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consultantplus://offline/ref=32C330792032B2B7ED79D0A12EC390DF7ECFD253A5C07523C7FD9F4B5C5BBBFE4980769A81BCC8FF96C91033787887AAE5637E16192CC5E1Z139H</vt:lpwstr>
      </vt:variant>
      <vt:variant>
        <vt:lpwstr/>
      </vt:variant>
      <vt:variant>
        <vt:i4>6881380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consultantplus://offline/ref=32C330792032B2B7ED79D0A12EC390DF79CBDC55A4C57523C7FD9F4B5C5BBBFE4980769A81BCC8FC95C91033787887AAE5637E16192CC5E1Z139H</vt:lpwstr>
      </vt:variant>
      <vt:variant>
        <vt:lpwstr/>
      </vt:variant>
      <vt:variant>
        <vt:i4>6881385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consultantplus://offline/ref=32C330792032B2B7ED79D0A12EC390DF7ECFD253A5C07523C7FD9F4B5C5BBBFE4980769A81BCC8FF96C91033787887AAE5637E16192CC5E1Z139H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consultantplus://offline/ref=32C330792032B2B7ED79D0A12EC390DF79CBDC55A4C57523C7FD9F4B5C5BBBFE4980769A81BCC8FC95C91033787887AAE5637E16192CC5E1Z139H</vt:lpwstr>
      </vt:variant>
      <vt:variant>
        <vt:lpwstr/>
      </vt:variant>
      <vt:variant>
        <vt:i4>3407930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consultantplus://offline/ref=32C330792032B2B7ED79D0A12EC390DF79C8DD51A6CF7523C7FD9F4B5C5BBBFE4980769284B79CAFD79749613C338BA8FB7F7F15Z035H</vt:lpwstr>
      </vt:variant>
      <vt:variant>
        <vt:lpwstr/>
      </vt:variant>
      <vt:variant>
        <vt:i4>6226007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consultantplus://offline/ref=32C330792032B2B7ED79D0A12EC390DF79C8DD51A6CF7523C7FD9F4B5C5BBBFE4980769A81BFC3AAC286116F3F2D94A8E4637D1705Z23CH</vt:lpwstr>
      </vt:variant>
      <vt:variant>
        <vt:lpwstr/>
      </vt:variant>
      <vt:variant>
        <vt:i4>131145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5505027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consultantplus://offline/ref=32C330792032B2B7ED79D9B829C390DF7ACFD85AA7C77523C7FD9F4B5C5BBBFE5B802E9682BCD6FF92DC46623EZ23FH</vt:lpwstr>
      </vt:variant>
      <vt:variant>
        <vt:lpwstr/>
      </vt:variant>
      <vt:variant>
        <vt:i4>6226004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consultantplus://offline/ref=32C330792032B2B7ED79D0A12EC390DF79C8DD51A6CF7523C7FD9F4B5C5BBBFE4980769A81BEC3AAC286116F3F2D94A8E4637D1705Z23CH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consultantplus://offline/ref=32C330792032B2B7ED79D0A12EC390DF7CC1DE5AA7C17523C7FD9F4B5C5BBBFE5B802E9682BCD6FF92DC46623EZ23FH</vt:lpwstr>
      </vt:variant>
      <vt:variant>
        <vt:lpwstr/>
      </vt:variant>
      <vt:variant>
        <vt:i4>3407928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consultantplus://offline/ref=32C330792032B2B7ED79D0A12EC390DF79C8DD51A6CF7523C7FD9F4B5C5BBBFE4980769286B79CAFD79749613C338BA8FB7F7F15Z035H</vt:lpwstr>
      </vt:variant>
      <vt:variant>
        <vt:lpwstr/>
      </vt:variant>
      <vt:variant>
        <vt:i4>524356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655427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P238</vt:lpwstr>
      </vt:variant>
      <vt:variant>
        <vt:i4>6225928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consultantplus://offline/ref=32C330792032B2B7ED79D0A12EC390DF79C8DD51A6CF7523C7FD9F4B5C5BBBFE4980769884BEC3AAC286116F3F2D94A8E4637D1705Z23CH</vt:lpwstr>
      </vt:variant>
      <vt:variant>
        <vt:lpwstr/>
      </vt:variant>
      <vt:variant>
        <vt:i4>589890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6881340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consultantplus://offline/ref=32C330792032B2B7ED79D0A12EC390DF7ECBD352A1C27523C7FD9F4B5C5BBBFE4980769A81BCC8FE9BC91033787887AAE5637E16192CC5E1Z139H</vt:lpwstr>
      </vt:variant>
      <vt:variant>
        <vt:lpwstr/>
      </vt:variant>
      <vt:variant>
        <vt:i4>6881340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consultantplus://offline/ref=32C330792032B2B7ED79D0A12EC390DF7ECBD352A1C27523C7FD9F4B5C5BBBFE4980769A81BCC8FE9BC91033787887AAE5637E16192CC5E1Z139H</vt:lpwstr>
      </vt:variant>
      <vt:variant>
        <vt:lpwstr/>
      </vt:variant>
      <vt:variant>
        <vt:i4>5701636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consultantplus://offline/ref=32C330792032B2B7ED79D0A12EC390DF7ECBD352A1C27523C7FD9F4B5C5BBBFE5B802E9682BCD6FF92DC46623EZ23FH</vt:lpwstr>
      </vt:variant>
      <vt:variant>
        <vt:lpwstr/>
      </vt:variant>
      <vt:variant>
        <vt:i4>6881391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consultantplus://offline/ref=32C330792032B2B7ED79D0A12EC390DF7FCEDC55A7CE7523C7FD9F4B5C5BBBFE4980769A81BCC9FF91C91033787887AAE5637E16192CC5E1Z139H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consultantplus://offline/ref=32C330792032B2B7ED79D0A12EC390DF7ECBD352A1C27523C7FD9F4B5C5BBBFE4980769A81BCC8FE9BC91033787887AAE5637E16192CC5E1Z139H</vt:lpwstr>
      </vt:variant>
      <vt:variant>
        <vt:lpwstr/>
      </vt:variant>
      <vt:variant>
        <vt:i4>262210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589889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327746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589889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5701636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consultantplus://offline/ref=32C330792032B2B7ED79D0A12EC390DF7CCDDB51A7CF7523C7FD9F4B5C5BBBFE5B802E9682BCD6FF92DC46623EZ23FH</vt:lpwstr>
      </vt:variant>
      <vt:variant>
        <vt:lpwstr/>
      </vt:variant>
      <vt:variant>
        <vt:i4>3735664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3670128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6881332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consultantplus://offline/ref=32C330792032B2B7ED79D0A12EC390DF7FC8DE5BA1C07523C7FD9F4B5C5BBBFE4980769A81BCC9FE96C91033787887AAE5637E16192CC5E1Z139H</vt:lpwstr>
      </vt:variant>
      <vt:variant>
        <vt:lpwstr/>
      </vt:variant>
      <vt:variant>
        <vt:i4>6881385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consultantplus://offline/ref=32C330792032B2B7ED79D0A12EC390DF7ECFD253A5C07523C7FD9F4B5C5BBBFE4980769A81BCC8FF96C91033787887AAE5637E16192CC5E1Z139H</vt:lpwstr>
      </vt:variant>
      <vt:variant>
        <vt:lpwstr/>
      </vt:variant>
      <vt:variant>
        <vt:i4>6881380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consultantplus://offline/ref=32C330792032B2B7ED79D0A12EC390DF79CBDC55A4C57523C7FD9F4B5C5BBBFE4980769A81BCC8FC95C91033787887AAE5637E16192CC5E1Z139H</vt:lpwstr>
      </vt:variant>
      <vt:variant>
        <vt:lpwstr/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393285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6881382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consultantplus://offline/ref=32C330792032B2B7ED79D0A12EC390DF7FC8DE5BA1C07523C7FD9F4B5C5BBBFE4980769A81BCC8F696C91033787887AAE5637E16192CC5E1Z139H</vt:lpwstr>
      </vt:variant>
      <vt:variant>
        <vt:lpwstr/>
      </vt:variant>
      <vt:variant>
        <vt:i4>6881377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consultantplus://offline/ref=32C330792032B2B7ED79D0A12EC390DF7FCEDC55A7CE7523C7FD9F4B5C5BBBFE4980769A81BCC8F99AC91033787887AAE5637E16192CC5E1Z139H</vt:lpwstr>
      </vt:variant>
      <vt:variant>
        <vt:lpwstr/>
      </vt:variant>
      <vt:variant>
        <vt:i4>3407928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consultantplus://offline/ref=32C330792032B2B7ED79D0A12EC390DF79C8DD51A6CF7523C7FD9F4B5C5BBBFE4980769286B79CAFD79749613C338BA8FB7F7F15Z035H</vt:lpwstr>
      </vt:variant>
      <vt:variant>
        <vt:lpwstr/>
      </vt:variant>
      <vt:variant>
        <vt:i4>5701636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consultantplus://offline/ref=32C330792032B2B7ED79D0A12EC390DF7CC0DF51A1C07523C7FD9F4B5C5BBBFE5B802E9682BCD6FF92DC46623EZ23FH</vt:lpwstr>
      </vt:variant>
      <vt:variant>
        <vt:lpwstr/>
      </vt:variant>
      <vt:variant>
        <vt:i4>393285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6226005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consultantplus://offline/ref=32C330792032B2B7ED79D0A12EC390DF79C8DD51A6CF7523C7FD9F4B5C5BBBFE4980769A81BDC3AAC286116F3F2D94A8E4637D1705Z23CH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kondakova</dc:creator>
  <cp:lastModifiedBy>nauchotd_2</cp:lastModifiedBy>
  <cp:revision>2</cp:revision>
  <cp:lastPrinted>2023-02-27T06:22:00Z</cp:lastPrinted>
  <dcterms:created xsi:type="dcterms:W3CDTF">2023-02-27T06:26:00Z</dcterms:created>
  <dcterms:modified xsi:type="dcterms:W3CDTF">2023-02-27T06:26:00Z</dcterms:modified>
</cp:coreProperties>
</file>