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3A09E9">
        <w:rPr>
          <w:rFonts w:ascii="Georgia" w:eastAsia="Times New Roman" w:hAnsi="Georgia"/>
          <w:color w:val="000000"/>
          <w:sz w:val="21"/>
          <w:szCs w:val="21"/>
          <w:lang w:eastAsia="ru-RU"/>
        </w:rPr>
        <w:t>Добрый день, уважаемые коллеги!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3A09E9">
        <w:rPr>
          <w:rFonts w:ascii="Georgia" w:eastAsia="Times New Roman" w:hAnsi="Georgia"/>
          <w:color w:val="000000"/>
          <w:sz w:val="21"/>
          <w:szCs w:val="21"/>
          <w:lang w:eastAsia="ru-RU"/>
        </w:rPr>
        <w:t>Вы можете с новинками литературы по тем</w:t>
      </w:r>
      <w:proofErr w:type="gramStart"/>
      <w:r w:rsidRPr="003A09E9">
        <w:rPr>
          <w:rFonts w:ascii="Georgia" w:eastAsia="Times New Roman" w:hAnsi="Georgia"/>
          <w:color w:val="000000"/>
          <w:sz w:val="21"/>
          <w:szCs w:val="21"/>
          <w:lang w:eastAsia="ru-RU"/>
        </w:rPr>
        <w:t>е"</w:t>
      </w:r>
      <w:proofErr w:type="gramEnd"/>
      <w:r w:rsidRPr="003A09E9">
        <w:rPr>
          <w:rFonts w:ascii="Georgia" w:eastAsia="Times New Roman" w:hAnsi="Georgia"/>
          <w:color w:val="000000"/>
          <w:sz w:val="21"/>
          <w:szCs w:val="21"/>
          <w:lang w:eastAsia="ru-RU"/>
        </w:rPr>
        <w:t>Медицина" и "Здравоохранение".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Georgia" w:eastAsia="Times New Roman" w:hAnsi="Georgia"/>
          <w:color w:val="000000"/>
          <w:sz w:val="21"/>
          <w:szCs w:val="21"/>
          <w:lang w:eastAsia="ru-RU"/>
        </w:rPr>
      </w:pPr>
      <w:r w:rsidRPr="003A09E9">
        <w:rPr>
          <w:rFonts w:ascii="Georgia" w:eastAsia="Times New Roman" w:hAnsi="Georgia"/>
          <w:color w:val="000000"/>
          <w:sz w:val="21"/>
          <w:szCs w:val="21"/>
          <w:lang w:eastAsia="ru-RU"/>
        </w:rPr>
        <w:t>Рекомендую обратить внимание на нижеследующую подборку новинок: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Georgia" w:eastAsia="Times New Roman" w:hAnsi="Georgia"/>
          <w:color w:val="000000"/>
          <w:sz w:val="21"/>
          <w:szCs w:val="21"/>
          <w:lang w:eastAsia="ru-RU"/>
        </w:rPr>
      </w:pP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Актуальные вопросы диагностики и лечения торакоабдоминальных травм.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М.:Блок-Принт,2022.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Стяжкина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С.Н.,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Пелина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Н.А.,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Байрамкулов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М.Д.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Актуальные вопросы лечения и реабилитации пациентов с новообразованиями щитовидной железы.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Стяжкина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С.Н.,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Идиатуллин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Р.М.,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Чернышова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Т.Е.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Актуальные проблемы медицины и права : сборник научных трудов Всероссийской научно-практической конференции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М.:РГ-Пресс,2021.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Отв. ред. Чупрова А.Ю.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Актуальные проблемы правового регулирования управления медицинским персоналом и пути их решения в современных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условиях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пос.-М.:Проспект,2021.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Башанкаев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Б.Н., Морозов П.Е., Рустамов Б.Е.,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Чанышев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А.С.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Алгоритм судебно-медицинской экспертной работы в случаях массовых острых инфекционных заболеваний органов дыхания в замкнутых коллективах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Сухарева М. А., Баринов Е. Х., Пинчук П. 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Атлас по дисциплине "Гигиена труда"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М.:РГ-Пресс,2022. Рек. УМО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/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Кириллова В.Ф., Миронова А.И.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Биомедицинское право в России и за рубежом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.М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онография.-М.:Проспект,2021.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Романовский Г.Б., Тарусина Н.Н., Мохов А.А.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Введение в восстановительное правосудие (медиация в ответ на преступление)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.М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онография.-М.:Проспект,2022.   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Карнозова Л.М.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Генетические технологии и медицина: доктрина, законодательство, практика.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Отв. ред. Мохов А.А., Сушкова О.В.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Горе от ума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: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комедия в четырех действиях в стихах : Подробный иллюстрированный комментарий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М.:РГ-Пресс,2021.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Грибоедов А.С.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Диагностика депрессии (учебный атлас).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пос.-М.:Проспект,2023.  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Ковалев Ю.В.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Загадки танатологии.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.М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.:РГ-Пресс,2023.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Баринов Е.Х.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Защита интеллектуальных прав в фармацевтической деятельности. Уч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ос.-М.:Проспект,2023.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Сушкова О.В.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Избранные труды. В 7-и томах. Том 6. Проблемы административной юстиции, особого производства, гражданского и медицинского права. Юридическая публицистика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Боннер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А.Т.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Иллюзии, галлюцинации и бредовые расстройства (учебный атлас).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пос.-М.:РГ-Пресс,2023.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Ковалев Ю.В.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Информационно-мировоззренческая безопасность в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интернет-медиа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М.:Блок-Принт,2023.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Галяшина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Е.И., Никишин В.Д.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Искусственная репродукция человека: поиск оптимальной модели правового регулирования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Богданова Е.Е., Белова Д.А.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Использование альтернативных источников данных в судебно-медицинской экспертизе по материалам «врачебных» дел.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Калинин Р.Э., Баринов Е.Х.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Качество и безопасность оказания стоматологической помощи. Судебно-медицинские и медико-правовые вопросы. Уч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ос.-М.:РГ-Пресс,2022.  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/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Баринова Е.Х., Ромодановского П.О.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Клиническая иконография в психиатрии.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М.:Проспект,2023.Ковалев Ю.В.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Критерии обоснованности заключения судебно-медицинской экспертизы по «медицинским» делам в гражданском процессе.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  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Баринов Е.Х., Каменева К.Ю.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Лечебное питание в таблицах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Медико-биологические основы безопасности жизнедеятельности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ч.пос.-М.:Проспект,2022.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Агошков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А.И.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Медицинская карта ребенка. История развития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ребенка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КОМПЛЕКТ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Медицинская карта ребенка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Медицинское право России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ч.-М.:Проспект,2022.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Отв. ред. Мохов А.А.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Медицинское уголовное право.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М.:Проспект,2023. Отв. ред.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Рарог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А.И.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Методика составления собственного рационального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питания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чебно-методич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пос.-М.:Проспект,2023.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Маркарянц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Л.М.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Микробиология и микология. Особо опасные инфекционные болезни, микозы и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микотоксикозы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Учебник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Маннапова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Р.Т.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Микробиология, микология и основы иммунологии (самоконтроль знаний, тестирование студентов).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ос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-М.:Проспект,2022.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Маннапова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Р.Т.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Научно-практический комментарий к Федеральному закону «О биомедицинских клеточных продуктах» (постатейный)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М.:Проспект,2021.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Отв. ред.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Холопова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Е.Н.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 международном медицинском кластере и внесении изменений в отдельные законодательные акты РФ. Научно-практический комментарий к Федеральному закону от 29 июня 2015 г. № 160-ФЗ (постатейный)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Отв. ред. Волкова Н.С.;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предисл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Хабриева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Р.У.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Об основах охраны здоровья граждан в РФ № 323-ФЗ.-М.:Проспект,2023.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Оказание доврачебной помощи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пострадавшим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чебно-методич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пос.-М.:Проспект,2021.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Маркарянц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Л.М.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Оплата труда персонала медицинских организаций: эффективный контракт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чебно-методич.пос.-М.:Проспект,2022.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Габуева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Л.А.,Зимина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Э.В.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Особенности досудебного производства о применении принудительных мер медицинского характера в отношении несовершеннолетних.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Красильников А.В.,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Ручина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lastRenderedPageBreak/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Особенности правового 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регулирования некоторых актуальных вопросов защиты прав потребителей медицинских услуг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. Монография. -2-е изд.,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перераб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и доп.-М.:Проспект,2023.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Вильгоненко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И.М.,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Слепенок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Ю.Н., Станкевич Г.В., Степанова Л.П.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Паралич: путь к выздоровлению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Леонтьев М.А.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Переговоры –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фасилитация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– медиация.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пос.-М.:Проспект,2022.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Чумиков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А.Н.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Право и биоэтика инновационных медицинских технологий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.М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онография.-М.:Проспект,2022.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Инюшкин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А.Н.,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Инюшкин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А.А., Малышев К.В.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Право и современные технологии в медицине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.М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онография.-М.:РГ-Пресс,2023.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Отв. ред. Мохов А.А., Сушкова О.В.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Право на бесплатную медицинскую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помощь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пос.-М.:Проспект,2023.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Под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общ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.р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ед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Тучковой Э.Г, Гусевой Т.С.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Правовое регулирование трансплантации в РФ.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Научно-практич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. пос.-М.:Проспект,2021.Отв. ред.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Путило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Н.В.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Правовое регулирование трансплантологии.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Капитонова Е.А., Романовская О.В., 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Романовский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Г.Б.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Правовые основы обращения лекарственных препаратов для медицинского применения.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 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Отв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.р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ед. Мохов А.А.,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Олефир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Ю.В.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Практика применения специальных познаний судебной медицины в суде.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Баринов Е.Х.,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Гецманова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И.В.,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Поздеев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А.Р.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Практикум по медицинскому праву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Абросимова Е.А., Коломиец А.И., Чайка Л.Н., </w:t>
      </w:r>
      <w:proofErr w:type="spellStart"/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/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Волковой А.А.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Практические аспекты психологии здоровья.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пос.-М.:Проспект,2023.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Валеева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Г.В.,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Тюмасева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З.И.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Прокурорский надзор за исполнением законов об охране жизни и здоровья несовершеннолетних.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М.:Проспект,2022.  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Ережипалиев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Д.И. и др.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Психологические особенности осужденных женского пола с расстройствами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личности.-М.:Проспект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.А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кадемия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ФСИН России,2022.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Сочивко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О.И.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Радионуклидные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и биохимические методы оценки функционального риска почечной и печеночной недостаточности.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/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Кашкадаевой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А.В.,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Кушлинского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Н.Е.,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Стилиди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И.С.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Рак яичников: фундаментальные и клинические исследования.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М.:Блок-Принт,2021.П/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Кушлинского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Н.Е., Гуляевой Л.Ф.,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Огнерубова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Н.А.,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Стилиди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И.С.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Рентгенография. Качественный рентгенофазовый анализ. Уч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ос.-М.:Проспект,2021.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Монина Л.Н.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Сборник упражнений по латинскому языку и основам медицинской терминологии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.У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ч.пос.-М.:Проспект,2023.Тальчикова Е.Н.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Скорая помощь на даче. Если рядом нет врача..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Замятина Н.Г.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Спортивно-оздоровительная физическая культура для детей дошкольного возраста.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пос.-М.:Проспект,2023.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Под общ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ед.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Соковикова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О.Б.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Старение, здоровье, качество жизни старшего поколения.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Дегтярёв Г.П.,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Роик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В.Д.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Судебная медицина в схемах и рисунках. Уч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ос.-М.:Проспект,2023. Рек. УМО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Ромодановский П.О., Баринов Е.Х.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Судебная медицина и психиатрия.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пос.-М.:Проспект,2023.  Отв. ред. Мохов А.А.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Судебно-медицинская оценка повреждений костей скелета с применением методов лучевой диагностики при проведении экспертизы живых лиц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.М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онография.-М.:Проспеект,2023.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Тарасова Н.В.,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Клевно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В.А., Баринов Е.Х.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Топографическая анатомия и оперативная хирургия.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в 2 т. Т.1.-М.:Проспект,2022.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Сигал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З.М.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Топографическая анатомия и оперативная хирургия.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в 2 т. Т.2.-М.:Проспект,2022.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Сигал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З.М.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Фармацевтическое право России.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пос.-М.:Проспект,2022.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Отв. ред. Мохов А.А., Хохлов А.Л.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Фармацевтическое уголовное право России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.М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онография.-М.:Проспект,2021.           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Отв. ред.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Рарог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А.И.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Цветной атлас ультразвуковой топографической и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патотопографической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анатомии.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Уч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 пос.-М.:Проспект,2022.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Сигал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З.М.,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Сурнина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О.В.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Цифровизация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гражданского оборота: проблемы и тенденции развития digital-медицины (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цивилистическое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исследование). Монография. В 5 т. Т.II.-М.:Проспект,2023.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Василевская Л.Ю., 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Подузова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Е.Б.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Эволюция социологии и биоэтики в медицине. Уч.-М.:Проспект,2022.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Семина Т.В.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Экспертная оценка случаев ненадлежащего оказания медицинской помощи в кардиологической практике.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М.:Проспект,2023.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Косухина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О.И., Баринов Е.Х.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Эпонимические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термины в травматологии и ортопедии. Монография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М.:Блок-Принт,2022.     </w:t>
      </w:r>
      <w:r w:rsidRPr="003A09E9">
        <w:rPr>
          <w:rFonts w:eastAsia="Times New Roman" w:cs="Calibri"/>
          <w:color w:val="000000"/>
          <w:sz w:val="18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Федоров В.Г.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Юридический словарь для медицинских работников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.-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М.:Проспект,2021.      </w:t>
      </w:r>
      <w:proofErr w:type="gram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П</w:t>
      </w:r>
      <w:proofErr w:type="gram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/</w:t>
      </w:r>
      <w:proofErr w:type="spellStart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р</w:t>
      </w:r>
      <w:proofErr w:type="spellEnd"/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 xml:space="preserve"> Малько Е. А.</w:t>
      </w:r>
    </w:p>
    <w:p w:rsidR="003A09E9" w:rsidRPr="003A09E9" w:rsidRDefault="003A09E9" w:rsidP="003A09E9">
      <w:pPr>
        <w:shd w:val="clear" w:color="auto" w:fill="FFFFFF"/>
        <w:spacing w:after="0" w:line="240" w:lineRule="auto"/>
        <w:ind w:left="502"/>
        <w:rPr>
          <w:rFonts w:eastAsia="Times New Roman" w:cs="Calibri"/>
          <w:color w:val="000000"/>
          <w:sz w:val="24"/>
          <w:szCs w:val="24"/>
          <w:lang w:eastAsia="ru-RU"/>
        </w:rPr>
      </w:pPr>
      <w:r w:rsidRPr="003A09E9">
        <w:rPr>
          <w:rFonts w:ascii="Symbol" w:eastAsia="Times New Roman" w:hAnsi="Symbol" w:cs="Calibri"/>
          <w:color w:val="000000"/>
          <w:sz w:val="18"/>
          <w:szCs w:val="18"/>
          <w:lang w:eastAsia="ru-RU"/>
        </w:rPr>
        <w:t></w:t>
      </w:r>
      <w:r w:rsidRPr="003A09E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3A09E9"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 w:rsidRPr="003A09E9">
        <w:rPr>
          <w:rFonts w:eastAsia="Times New Roman" w:cs="Calibri"/>
          <w:color w:val="000000"/>
          <w:sz w:val="18"/>
          <w:szCs w:val="18"/>
          <w:lang w:eastAsia="ru-RU"/>
        </w:rPr>
        <w:t> 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Всего доброго,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Золотов Никита С.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  <w:lang w:eastAsia="ru-RU"/>
        </w:rPr>
      </w:pPr>
      <w:r w:rsidRPr="003A09E9">
        <w:rPr>
          <w:rFonts w:ascii="Georgia" w:eastAsia="Times New Roman" w:hAnsi="Georgia" w:cs="Helvetica"/>
          <w:color w:val="000000"/>
          <w:sz w:val="16"/>
          <w:szCs w:val="16"/>
          <w:lang w:eastAsia="ru-RU"/>
        </w:rPr>
        <w:t>издательство Проспект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тел. </w:t>
      </w:r>
      <w:r w:rsidRPr="003A09E9">
        <w:rPr>
          <w:rFonts w:ascii="Helvetica" w:eastAsia="Times New Roman" w:hAnsi="Helvetica" w:cs="Helvetica"/>
          <w:color w:val="000000"/>
          <w:sz w:val="16"/>
          <w:lang w:eastAsia="ru-RU"/>
        </w:rPr>
        <w:t>+7(903)-776-9686</w:t>
      </w:r>
    </w:p>
    <w:p w:rsidR="003A09E9" w:rsidRPr="003A09E9" w:rsidRDefault="003A09E9" w:rsidP="003A09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proofErr w:type="spellStart"/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E-mail</w:t>
      </w:r>
      <w:proofErr w:type="spellEnd"/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: </w:t>
      </w:r>
      <w:hyperlink r:id="rId4" w:tgtFrame="_blank" w:history="1">
        <w:r w:rsidRPr="003A09E9">
          <w:rPr>
            <w:rFonts w:ascii="Helvetica" w:eastAsia="Times New Roman" w:hAnsi="Helvetica" w:cs="Helvetica"/>
            <w:color w:val="0000FF"/>
            <w:sz w:val="16"/>
            <w:u w:val="single"/>
            <w:lang w:eastAsia="ru-RU"/>
          </w:rPr>
          <w:t>nikita.zolotov@gmail.com</w:t>
        </w:r>
      </w:hyperlink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, </w:t>
      </w:r>
      <w:hyperlink r:id="rId5" w:tgtFrame="_blank" w:history="1">
        <w:r w:rsidRPr="003A09E9">
          <w:rPr>
            <w:rFonts w:ascii="Helvetica" w:eastAsia="Times New Roman" w:hAnsi="Helvetica" w:cs="Helvetica"/>
            <w:color w:val="0000FF"/>
            <w:sz w:val="16"/>
            <w:u w:val="single"/>
            <w:lang w:eastAsia="ru-RU"/>
          </w:rPr>
          <w:t>zolotnik@mail.ru</w:t>
        </w:r>
      </w:hyperlink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br/>
      </w:r>
      <w:proofErr w:type="spellStart"/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Skype</w:t>
      </w:r>
      <w:proofErr w:type="spellEnd"/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: </w:t>
      </w:r>
      <w:proofErr w:type="spellStart"/>
      <w:r w:rsidRPr="003A09E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nikita_zolotov</w:t>
      </w:r>
      <w:proofErr w:type="spellEnd"/>
    </w:p>
    <w:p w:rsidR="00A4193F" w:rsidRDefault="00A4193F"/>
    <w:sectPr w:rsidR="00A4193F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09E9"/>
    <w:rsid w:val="00374A75"/>
    <w:rsid w:val="003A09E9"/>
    <w:rsid w:val="00562EE0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cc3510d9cc7755gmail-msolistparagraph">
    <w:name w:val="1cc3510d9cc7755gmail-msolistparagraph"/>
    <w:basedOn w:val="a"/>
    <w:rsid w:val="003A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567d552c614e4e8gmail-apple-converted-space">
    <w:name w:val="f567d552c614e4e8gmail-apple-converted-space"/>
    <w:basedOn w:val="a0"/>
    <w:rsid w:val="003A09E9"/>
  </w:style>
  <w:style w:type="paragraph" w:customStyle="1" w:styleId="1f5acb0787edcd7egmail-msolistparagraph">
    <w:name w:val="1f5acb0787edcd7egmail-msolistparagraph"/>
    <w:basedOn w:val="a"/>
    <w:rsid w:val="003A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0bfe48aa16923c7gmail-msolistparagraph">
    <w:name w:val="e0bfe48aa16923c7gmail-msolistparagraph"/>
    <w:basedOn w:val="a"/>
    <w:rsid w:val="003A0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A09E9"/>
  </w:style>
  <w:style w:type="character" w:styleId="a7">
    <w:name w:val="Hyperlink"/>
    <w:basedOn w:val="a0"/>
    <w:uiPriority w:val="99"/>
    <w:semiHidden/>
    <w:unhideWhenUsed/>
    <w:rsid w:val="003A0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0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3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8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lotnik@mail.ru" TargetMode="External"/><Relationship Id="rId4" Type="http://schemas.openxmlformats.org/officeDocument/2006/relationships/hyperlink" Target="mailto:nikita.zolot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2023-03-20T14:41:00Z</dcterms:created>
  <dcterms:modified xsi:type="dcterms:W3CDTF">2023-03-20T14:41:00Z</dcterms:modified>
</cp:coreProperties>
</file>